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49EE9" w14:textId="77777777" w:rsidR="00E80F03" w:rsidRDefault="00176EC7">
      <w:pPr>
        <w:spacing w:before="76"/>
        <w:ind w:left="293" w:right="308"/>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64149EEA" w14:textId="1AB5A5D4" w:rsidR="00E80F03" w:rsidRDefault="00176EC7">
      <w:pPr>
        <w:spacing w:line="321" w:lineRule="exact"/>
        <w:ind w:right="19"/>
        <w:jc w:val="center"/>
        <w:rPr>
          <w:b/>
          <w:sz w:val="28"/>
        </w:rPr>
      </w:pPr>
      <w:r>
        <w:rPr>
          <w:b/>
          <w:sz w:val="28"/>
        </w:rPr>
        <w:t>Workforce</w:t>
      </w:r>
      <w:r>
        <w:rPr>
          <w:b/>
          <w:spacing w:val="-7"/>
          <w:sz w:val="28"/>
        </w:rPr>
        <w:t xml:space="preserve"> </w:t>
      </w:r>
      <w:r w:rsidR="0055139B">
        <w:rPr>
          <w:b/>
          <w:sz w:val="28"/>
        </w:rPr>
        <w:t>Programs</w:t>
      </w:r>
    </w:p>
    <w:p w14:paraId="64149EEB" w14:textId="77777777" w:rsidR="00E80F03" w:rsidRDefault="00E80F03">
      <w:pPr>
        <w:pStyle w:val="BodyText"/>
        <w:spacing w:before="1"/>
        <w:rPr>
          <w:b/>
          <w:sz w:val="28"/>
        </w:rPr>
      </w:pPr>
    </w:p>
    <w:p w14:paraId="64149EEC" w14:textId="77777777" w:rsidR="00E80F03" w:rsidRDefault="00176EC7">
      <w:pPr>
        <w:spacing w:before="1"/>
        <w:ind w:left="1506" w:right="1521"/>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9"/>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64149EED" w14:textId="77777777" w:rsidR="00E80F03" w:rsidRDefault="00E80F03">
      <w:pPr>
        <w:pStyle w:val="BodyText"/>
        <w:spacing w:before="194"/>
        <w:rPr>
          <w:b/>
          <w:sz w:val="28"/>
        </w:rPr>
      </w:pPr>
    </w:p>
    <w:p w14:paraId="64149EEE" w14:textId="77777777" w:rsidR="00E80F03" w:rsidRDefault="00176EC7">
      <w:pPr>
        <w:pStyle w:val="Heading1"/>
      </w:pPr>
      <w:r>
        <w:t>Policy</w:t>
      </w:r>
      <w:r>
        <w:rPr>
          <w:spacing w:val="-2"/>
        </w:rPr>
        <w:t xml:space="preserve"> </w:t>
      </w:r>
      <w:r>
        <w:t>Number:</w:t>
      </w:r>
      <w:r>
        <w:rPr>
          <w:spacing w:val="57"/>
        </w:rPr>
        <w:t xml:space="preserve"> </w:t>
      </w:r>
      <w:r>
        <w:rPr>
          <w:spacing w:val="-5"/>
        </w:rPr>
        <w:t>5.2</w:t>
      </w:r>
    </w:p>
    <w:p w14:paraId="64149EEF" w14:textId="634FBDCE" w:rsidR="00E80F03" w:rsidRDefault="00176EC7">
      <w:pPr>
        <w:pStyle w:val="BodyText"/>
        <w:spacing w:before="274" w:line="278" w:lineRule="auto"/>
        <w:ind w:left="115"/>
      </w:pPr>
      <w:r>
        <w:rPr>
          <w:b/>
          <w:u w:val="single"/>
        </w:rPr>
        <w:t>Originating Office</w:t>
      </w:r>
      <w:r>
        <w:rPr>
          <w:b/>
        </w:rPr>
        <w:t>:</w:t>
      </w:r>
      <w:r>
        <w:rPr>
          <w:b/>
          <w:spacing w:val="40"/>
        </w:rPr>
        <w:t xml:space="preserve"> </w:t>
      </w:r>
      <w:r>
        <w:t xml:space="preserve">Department of Employment, Training and Rehabilitation (DETR); Workforce </w:t>
      </w:r>
      <w:r w:rsidR="0055139B">
        <w:t>Programs</w:t>
      </w:r>
    </w:p>
    <w:p w14:paraId="64149EF0" w14:textId="77777777" w:rsidR="00E80F03" w:rsidRDefault="00E80F03">
      <w:pPr>
        <w:pStyle w:val="BodyText"/>
        <w:spacing w:before="36"/>
      </w:pPr>
    </w:p>
    <w:p w14:paraId="64149EF1" w14:textId="77777777" w:rsidR="00E80F03" w:rsidRDefault="00176EC7">
      <w:pPr>
        <w:spacing w:before="1"/>
        <w:ind w:left="115"/>
        <w:rPr>
          <w:sz w:val="24"/>
        </w:rPr>
      </w:pPr>
      <w:r>
        <w:rPr>
          <w:b/>
          <w:sz w:val="24"/>
          <w:u w:val="single"/>
        </w:rPr>
        <w:t>Subject</w:t>
      </w:r>
      <w:r>
        <w:rPr>
          <w:b/>
          <w:sz w:val="24"/>
        </w:rPr>
        <w:t>:</w:t>
      </w:r>
      <w:r>
        <w:rPr>
          <w:b/>
          <w:spacing w:val="55"/>
          <w:sz w:val="24"/>
        </w:rPr>
        <w:t xml:space="preserve"> </w:t>
      </w:r>
      <w:r>
        <w:rPr>
          <w:sz w:val="24"/>
        </w:rPr>
        <w:t>Forms</w:t>
      </w:r>
      <w:r>
        <w:rPr>
          <w:spacing w:val="-1"/>
          <w:sz w:val="24"/>
        </w:rPr>
        <w:t xml:space="preserve"> </w:t>
      </w:r>
      <w:r>
        <w:rPr>
          <w:sz w:val="24"/>
        </w:rPr>
        <w:t>for</w:t>
      </w:r>
      <w:r>
        <w:rPr>
          <w:spacing w:val="-3"/>
          <w:sz w:val="24"/>
        </w:rPr>
        <w:t xml:space="preserve"> </w:t>
      </w:r>
      <w:r>
        <w:rPr>
          <w:sz w:val="24"/>
        </w:rPr>
        <w:t>Reporting</w:t>
      </w:r>
      <w:r>
        <w:rPr>
          <w:spacing w:val="-1"/>
          <w:sz w:val="24"/>
        </w:rPr>
        <w:t xml:space="preserve"> </w:t>
      </w:r>
      <w:r>
        <w:rPr>
          <w:sz w:val="24"/>
        </w:rPr>
        <w:t>Fraud and</w:t>
      </w:r>
      <w:r>
        <w:rPr>
          <w:spacing w:val="-1"/>
          <w:sz w:val="24"/>
        </w:rPr>
        <w:t xml:space="preserve"> </w:t>
      </w:r>
      <w:r>
        <w:rPr>
          <w:spacing w:val="-2"/>
          <w:sz w:val="24"/>
        </w:rPr>
        <w:t>Abuse</w:t>
      </w:r>
    </w:p>
    <w:p w14:paraId="64149EF2" w14:textId="77777777" w:rsidR="00E80F03" w:rsidRDefault="00176EC7">
      <w:pPr>
        <w:pStyle w:val="BodyText"/>
        <w:spacing w:before="276" w:line="276" w:lineRule="auto"/>
        <w:ind w:left="115" w:right="102"/>
        <w:jc w:val="both"/>
      </w:pPr>
      <w:r>
        <w:rPr>
          <w:b/>
          <w:u w:val="single"/>
        </w:rPr>
        <w:t>Approved</w:t>
      </w:r>
      <w:r>
        <w:rPr>
          <w:b/>
        </w:rPr>
        <w:t>:</w:t>
      </w:r>
      <w:r>
        <w:rPr>
          <w:b/>
          <w:spacing w:val="40"/>
        </w:rPr>
        <w:t xml:space="preserve"> </w:t>
      </w:r>
      <w:r>
        <w:t>Governor’s Workforce Development Board (GWDB) Executive Committee July 17, 2024; NEW May 2019 replacing Workforce Investment Act (WIA) Section 5.2. Approved GWDB Executive Committee June 20, 2019; Ratified GWDB July 16, 2019</w:t>
      </w:r>
    </w:p>
    <w:p w14:paraId="64149EF3" w14:textId="77777777" w:rsidR="00E80F03" w:rsidRDefault="00176EC7">
      <w:pPr>
        <w:pStyle w:val="BodyText"/>
        <w:spacing w:before="199"/>
        <w:ind w:left="115" w:right="133"/>
        <w:jc w:val="both"/>
      </w:pPr>
      <w:r>
        <w:rPr>
          <w:b/>
          <w:u w:val="single"/>
        </w:rPr>
        <w:t>Purpose</w:t>
      </w:r>
      <w:r>
        <w:rPr>
          <w:b/>
        </w:rPr>
        <w:t>:</w:t>
      </w:r>
      <w:r>
        <w:rPr>
          <w:b/>
          <w:spacing w:val="40"/>
        </w:rPr>
        <w:t xml:space="preserve"> </w:t>
      </w:r>
      <w:r>
        <w:t>To</w:t>
      </w:r>
      <w:r>
        <w:rPr>
          <w:spacing w:val="-6"/>
        </w:rPr>
        <w:t xml:space="preserve"> </w:t>
      </w:r>
      <w:r>
        <w:t>transmit</w:t>
      </w:r>
      <w:r>
        <w:rPr>
          <w:spacing w:val="-5"/>
        </w:rPr>
        <w:t xml:space="preserve"> </w:t>
      </w:r>
      <w:r>
        <w:t>procedures</w:t>
      </w:r>
      <w:r>
        <w:rPr>
          <w:spacing w:val="-6"/>
        </w:rPr>
        <w:t xml:space="preserve"> </w:t>
      </w:r>
      <w:r>
        <w:t>to</w:t>
      </w:r>
      <w:r>
        <w:rPr>
          <w:spacing w:val="-6"/>
        </w:rPr>
        <w:t xml:space="preserve"> </w:t>
      </w:r>
      <w:r>
        <w:t>be</w:t>
      </w:r>
      <w:r>
        <w:rPr>
          <w:spacing w:val="-7"/>
        </w:rPr>
        <w:t xml:space="preserve"> </w:t>
      </w:r>
      <w:r>
        <w:t>used</w:t>
      </w:r>
      <w:r>
        <w:rPr>
          <w:spacing w:val="-6"/>
        </w:rPr>
        <w:t xml:space="preserve"> </w:t>
      </w:r>
      <w:r>
        <w:t>by</w:t>
      </w:r>
      <w:r>
        <w:rPr>
          <w:spacing w:val="-6"/>
        </w:rPr>
        <w:t xml:space="preserve"> </w:t>
      </w:r>
      <w:r>
        <w:t>all</w:t>
      </w:r>
      <w:r>
        <w:rPr>
          <w:spacing w:val="-5"/>
        </w:rPr>
        <w:t xml:space="preserve"> </w:t>
      </w:r>
      <w:r>
        <w:t>Employment</w:t>
      </w:r>
      <w:r>
        <w:rPr>
          <w:spacing w:val="-5"/>
        </w:rPr>
        <w:t xml:space="preserve"> </w:t>
      </w:r>
      <w:r>
        <w:t>and</w:t>
      </w:r>
      <w:r>
        <w:rPr>
          <w:spacing w:val="-6"/>
        </w:rPr>
        <w:t xml:space="preserve"> </w:t>
      </w:r>
      <w:r>
        <w:t>Training</w:t>
      </w:r>
      <w:r>
        <w:rPr>
          <w:spacing w:val="-6"/>
        </w:rPr>
        <w:t xml:space="preserve"> </w:t>
      </w:r>
      <w:r>
        <w:t>Administration</w:t>
      </w:r>
      <w:r>
        <w:rPr>
          <w:spacing w:val="-6"/>
        </w:rPr>
        <w:t xml:space="preserve"> </w:t>
      </w:r>
      <w:r>
        <w:t xml:space="preserve">(ETA) grant recipients for reporting allegations of fraud, program abuse or criminal conduct involving grantees or other entities and subrecipients receiving Federal funds either directly or indirectly from </w:t>
      </w:r>
      <w:r>
        <w:rPr>
          <w:spacing w:val="-4"/>
        </w:rPr>
        <w:t>ETA.</w:t>
      </w:r>
    </w:p>
    <w:p w14:paraId="64149EF4" w14:textId="77777777" w:rsidR="00E80F03" w:rsidRDefault="00E80F03">
      <w:pPr>
        <w:pStyle w:val="BodyText"/>
      </w:pPr>
    </w:p>
    <w:p w14:paraId="64149EF5" w14:textId="77777777" w:rsidR="00E80F03" w:rsidRDefault="00176EC7">
      <w:pPr>
        <w:spacing w:before="1"/>
        <w:ind w:left="115" w:right="152"/>
        <w:jc w:val="both"/>
        <w:rPr>
          <w:b/>
          <w:i/>
          <w:sz w:val="24"/>
        </w:rPr>
      </w:pPr>
      <w:r>
        <w:rPr>
          <w:b/>
          <w:sz w:val="24"/>
          <w:u w:val="single"/>
        </w:rPr>
        <w:t>State</w:t>
      </w:r>
      <w:r>
        <w:rPr>
          <w:b/>
          <w:spacing w:val="-9"/>
          <w:sz w:val="24"/>
          <w:u w:val="single"/>
        </w:rPr>
        <w:t xml:space="preserve"> </w:t>
      </w:r>
      <w:r>
        <w:rPr>
          <w:b/>
          <w:sz w:val="24"/>
          <w:u w:val="single"/>
        </w:rPr>
        <w:t>Imposed</w:t>
      </w:r>
      <w:r>
        <w:rPr>
          <w:b/>
          <w:spacing w:val="-8"/>
          <w:sz w:val="24"/>
          <w:u w:val="single"/>
        </w:rPr>
        <w:t xml:space="preserve"> </w:t>
      </w:r>
      <w:r>
        <w:rPr>
          <w:b/>
          <w:sz w:val="24"/>
          <w:u w:val="single"/>
        </w:rPr>
        <w:t>Requirements</w:t>
      </w:r>
      <w:r>
        <w:rPr>
          <w:b/>
          <w:sz w:val="24"/>
        </w:rPr>
        <w:t>:</w:t>
      </w:r>
      <w:r>
        <w:rPr>
          <w:b/>
          <w:spacing w:val="40"/>
          <w:sz w:val="24"/>
        </w:rPr>
        <w:t xml:space="preserve"> </w:t>
      </w:r>
      <w:r>
        <w:rPr>
          <w:sz w:val="24"/>
        </w:rPr>
        <w:t>This</w:t>
      </w:r>
      <w:r>
        <w:rPr>
          <w:spacing w:val="-11"/>
          <w:sz w:val="24"/>
        </w:rPr>
        <w:t xml:space="preserve"> </w:t>
      </w:r>
      <w:r>
        <w:rPr>
          <w:sz w:val="24"/>
        </w:rPr>
        <w:t>directive</w:t>
      </w:r>
      <w:r>
        <w:rPr>
          <w:spacing w:val="-11"/>
          <w:sz w:val="24"/>
        </w:rPr>
        <w:t xml:space="preserve"> </w:t>
      </w:r>
      <w:r>
        <w:rPr>
          <w:sz w:val="24"/>
        </w:rPr>
        <w:t>may</w:t>
      </w:r>
      <w:r>
        <w:rPr>
          <w:spacing w:val="-8"/>
          <w:sz w:val="24"/>
        </w:rPr>
        <w:t xml:space="preserve"> </w:t>
      </w:r>
      <w:r>
        <w:rPr>
          <w:sz w:val="24"/>
        </w:rPr>
        <w:t>contain</w:t>
      </w:r>
      <w:r>
        <w:rPr>
          <w:spacing w:val="-11"/>
          <w:sz w:val="24"/>
        </w:rPr>
        <w:t xml:space="preserve"> </w:t>
      </w:r>
      <w:r>
        <w:rPr>
          <w:sz w:val="24"/>
        </w:rPr>
        <w:t>some</w:t>
      </w:r>
      <w:r>
        <w:rPr>
          <w:spacing w:val="-11"/>
          <w:sz w:val="24"/>
        </w:rPr>
        <w:t xml:space="preserve"> </w:t>
      </w:r>
      <w:r>
        <w:rPr>
          <w:sz w:val="24"/>
        </w:rPr>
        <w:t>state-imposed</w:t>
      </w:r>
      <w:r>
        <w:rPr>
          <w:spacing w:val="-8"/>
          <w:sz w:val="24"/>
        </w:rPr>
        <w:t xml:space="preserve"> </w:t>
      </w:r>
      <w:r>
        <w:rPr>
          <w:sz w:val="24"/>
        </w:rPr>
        <w:t>requirements.</w:t>
      </w:r>
      <w:r>
        <w:rPr>
          <w:spacing w:val="-11"/>
          <w:sz w:val="24"/>
        </w:rPr>
        <w:t xml:space="preserve"> </w:t>
      </w:r>
      <w:r>
        <w:rPr>
          <w:sz w:val="24"/>
        </w:rPr>
        <w:t xml:space="preserve">These requirements are printed in </w:t>
      </w:r>
      <w:r>
        <w:rPr>
          <w:b/>
          <w:i/>
          <w:sz w:val="24"/>
        </w:rPr>
        <w:t>bold, italicized type.</w:t>
      </w:r>
    </w:p>
    <w:p w14:paraId="64149EF6" w14:textId="55AEAB0F" w:rsidR="00E80F03" w:rsidRDefault="00176EC7">
      <w:pPr>
        <w:spacing w:before="276" w:line="276" w:lineRule="auto"/>
        <w:ind w:left="115" w:right="64"/>
        <w:rPr>
          <w:sz w:val="24"/>
        </w:rPr>
      </w:pPr>
      <w:r>
        <w:rPr>
          <w:b/>
          <w:spacing w:val="-2"/>
          <w:sz w:val="24"/>
          <w:u w:val="single"/>
        </w:rPr>
        <w:t>Authorities/References</w:t>
      </w:r>
      <w:r>
        <w:rPr>
          <w:b/>
          <w:spacing w:val="-2"/>
          <w:sz w:val="24"/>
        </w:rPr>
        <w:t>:</w:t>
      </w:r>
      <w:r>
        <w:rPr>
          <w:b/>
          <w:spacing w:val="19"/>
          <w:sz w:val="24"/>
        </w:rPr>
        <w:t xml:space="preserve"> </w:t>
      </w:r>
      <w:r>
        <w:rPr>
          <w:spacing w:val="-2"/>
          <w:sz w:val="24"/>
        </w:rPr>
        <w:t>Workforce</w:t>
      </w:r>
      <w:r>
        <w:rPr>
          <w:spacing w:val="-13"/>
          <w:sz w:val="24"/>
        </w:rPr>
        <w:t xml:space="preserve"> </w:t>
      </w:r>
      <w:r>
        <w:rPr>
          <w:spacing w:val="-2"/>
          <w:sz w:val="24"/>
        </w:rPr>
        <w:t>Innovation</w:t>
      </w:r>
      <w:r>
        <w:rPr>
          <w:spacing w:val="-13"/>
          <w:sz w:val="24"/>
        </w:rPr>
        <w:t xml:space="preserve"> </w:t>
      </w:r>
      <w:r>
        <w:rPr>
          <w:spacing w:val="-2"/>
          <w:sz w:val="24"/>
        </w:rPr>
        <w:t>and</w:t>
      </w:r>
      <w:r>
        <w:rPr>
          <w:spacing w:val="-13"/>
          <w:sz w:val="24"/>
        </w:rPr>
        <w:t xml:space="preserve"> </w:t>
      </w:r>
      <w:r>
        <w:rPr>
          <w:spacing w:val="-2"/>
          <w:sz w:val="24"/>
        </w:rPr>
        <w:t>Opportunity</w:t>
      </w:r>
      <w:r>
        <w:rPr>
          <w:spacing w:val="-13"/>
          <w:sz w:val="24"/>
        </w:rPr>
        <w:t xml:space="preserve"> </w:t>
      </w:r>
      <w:r>
        <w:rPr>
          <w:spacing w:val="-2"/>
          <w:sz w:val="24"/>
        </w:rPr>
        <w:t>Act</w:t>
      </w:r>
      <w:r>
        <w:rPr>
          <w:spacing w:val="-13"/>
          <w:sz w:val="24"/>
        </w:rPr>
        <w:t xml:space="preserve"> </w:t>
      </w:r>
      <w:r>
        <w:rPr>
          <w:spacing w:val="-2"/>
          <w:sz w:val="24"/>
        </w:rPr>
        <w:t>(P.L.</w:t>
      </w:r>
      <w:r>
        <w:rPr>
          <w:spacing w:val="-13"/>
          <w:sz w:val="24"/>
        </w:rPr>
        <w:t xml:space="preserve"> </w:t>
      </w:r>
      <w:r>
        <w:rPr>
          <w:spacing w:val="-2"/>
          <w:sz w:val="24"/>
        </w:rPr>
        <w:t>113-128),</w:t>
      </w:r>
      <w:r>
        <w:rPr>
          <w:spacing w:val="-13"/>
          <w:sz w:val="24"/>
        </w:rPr>
        <w:t xml:space="preserve"> </w:t>
      </w:r>
      <w:r>
        <w:rPr>
          <w:spacing w:val="-2"/>
          <w:sz w:val="24"/>
        </w:rPr>
        <w:t>TEGL</w:t>
      </w:r>
      <w:r>
        <w:rPr>
          <w:spacing w:val="-13"/>
          <w:sz w:val="24"/>
        </w:rPr>
        <w:t xml:space="preserve"> </w:t>
      </w:r>
      <w:r>
        <w:rPr>
          <w:spacing w:val="-2"/>
          <w:sz w:val="24"/>
        </w:rPr>
        <w:t xml:space="preserve">15-23, </w:t>
      </w:r>
      <w:r w:rsidR="0055139B">
        <w:rPr>
          <w:sz w:val="24"/>
        </w:rPr>
        <w:t>Nevada SCPs</w:t>
      </w:r>
    </w:p>
    <w:p w14:paraId="64149EF7" w14:textId="77777777" w:rsidR="00E80F03" w:rsidRDefault="00176EC7">
      <w:pPr>
        <w:pStyle w:val="BodyText"/>
        <w:spacing w:before="200"/>
        <w:ind w:left="115" w:right="132"/>
        <w:jc w:val="both"/>
      </w:pPr>
      <w:r>
        <w:rPr>
          <w:b/>
          <w:u w:val="single"/>
        </w:rPr>
        <w:t>ACTION REQUIRED</w:t>
      </w:r>
      <w:r>
        <w:rPr>
          <w:b/>
        </w:rPr>
        <w:t>:</w:t>
      </w:r>
      <w:r>
        <w:rPr>
          <w:b/>
          <w:spacing w:val="40"/>
        </w:rPr>
        <w:t xml:space="preserve"> </w:t>
      </w:r>
      <w:r>
        <w:t>Upon issuance bring this guidance to the attention of all WIOA service providers,</w:t>
      </w:r>
      <w:r>
        <w:rPr>
          <w:spacing w:val="-9"/>
        </w:rPr>
        <w:t xml:space="preserve"> </w:t>
      </w:r>
      <w:r>
        <w:t>Local</w:t>
      </w:r>
      <w:r>
        <w:rPr>
          <w:spacing w:val="-9"/>
        </w:rPr>
        <w:t xml:space="preserve"> </w:t>
      </w:r>
      <w:r>
        <w:t>Workforce</w:t>
      </w:r>
      <w:r>
        <w:rPr>
          <w:spacing w:val="-10"/>
        </w:rPr>
        <w:t xml:space="preserve"> </w:t>
      </w:r>
      <w:r>
        <w:t>Development</w:t>
      </w:r>
      <w:r>
        <w:rPr>
          <w:spacing w:val="-9"/>
        </w:rPr>
        <w:t xml:space="preserve"> </w:t>
      </w:r>
      <w:r>
        <w:t>Board</w:t>
      </w:r>
      <w:r>
        <w:rPr>
          <w:spacing w:val="-9"/>
        </w:rPr>
        <w:t xml:space="preserve"> </w:t>
      </w:r>
      <w:r>
        <w:t>(LWDB)</w:t>
      </w:r>
      <w:r>
        <w:rPr>
          <w:spacing w:val="-10"/>
        </w:rPr>
        <w:t xml:space="preserve"> </w:t>
      </w:r>
      <w:r>
        <w:t>members</w:t>
      </w:r>
      <w:r>
        <w:rPr>
          <w:spacing w:val="-9"/>
        </w:rPr>
        <w:t xml:space="preserve"> </w:t>
      </w:r>
      <w:r>
        <w:t>and</w:t>
      </w:r>
      <w:r>
        <w:rPr>
          <w:spacing w:val="-9"/>
        </w:rPr>
        <w:t xml:space="preserve"> </w:t>
      </w:r>
      <w:r>
        <w:t>any</w:t>
      </w:r>
      <w:r>
        <w:rPr>
          <w:spacing w:val="-9"/>
        </w:rPr>
        <w:t xml:space="preserve"> </w:t>
      </w:r>
      <w:r>
        <w:t>other</w:t>
      </w:r>
      <w:r>
        <w:rPr>
          <w:spacing w:val="-10"/>
        </w:rPr>
        <w:t xml:space="preserve"> </w:t>
      </w:r>
      <w:r>
        <w:t>concerned</w:t>
      </w:r>
      <w:r>
        <w:rPr>
          <w:spacing w:val="-9"/>
        </w:rPr>
        <w:t xml:space="preserve"> </w:t>
      </w:r>
      <w:r>
        <w:t>parties. Any LWDBs policies, procedures, and or contracts affected by this guidance are required to be updated accordingly.</w:t>
      </w:r>
    </w:p>
    <w:p w14:paraId="64149EF8" w14:textId="77777777" w:rsidR="00E80F03" w:rsidRDefault="00E80F03">
      <w:pPr>
        <w:pStyle w:val="BodyText"/>
      </w:pPr>
    </w:p>
    <w:p w14:paraId="64149EF9" w14:textId="77777777" w:rsidR="00E80F03" w:rsidRDefault="00176EC7">
      <w:pPr>
        <w:pStyle w:val="BodyText"/>
        <w:ind w:left="115" w:right="131"/>
        <w:jc w:val="both"/>
      </w:pPr>
      <w:r>
        <w:rPr>
          <w:b/>
          <w:u w:val="single"/>
        </w:rPr>
        <w:t>Background</w:t>
      </w:r>
      <w:r>
        <w:rPr>
          <w:b/>
        </w:rPr>
        <w:t>:</w:t>
      </w:r>
      <w:r>
        <w:rPr>
          <w:b/>
          <w:spacing w:val="40"/>
        </w:rPr>
        <w:t xml:space="preserve"> </w:t>
      </w:r>
      <w:r>
        <w:t>The Code of Federal Regulation (CFR) requires sub-recipients to report allegations, suspicions,</w:t>
      </w:r>
      <w:r>
        <w:rPr>
          <w:spacing w:val="-6"/>
        </w:rPr>
        <w:t xml:space="preserve"> </w:t>
      </w:r>
      <w:r>
        <w:t>and</w:t>
      </w:r>
      <w:r>
        <w:rPr>
          <w:spacing w:val="-6"/>
        </w:rPr>
        <w:t xml:space="preserve"> </w:t>
      </w:r>
      <w:r>
        <w:t>complaints</w:t>
      </w:r>
      <w:r>
        <w:rPr>
          <w:spacing w:val="-6"/>
        </w:rPr>
        <w:t xml:space="preserve"> </w:t>
      </w:r>
      <w:r>
        <w:t>of</w:t>
      </w:r>
      <w:r>
        <w:rPr>
          <w:spacing w:val="-7"/>
        </w:rPr>
        <w:t xml:space="preserve"> </w:t>
      </w:r>
      <w:r>
        <w:t>possible</w:t>
      </w:r>
      <w:r>
        <w:rPr>
          <w:spacing w:val="-7"/>
        </w:rPr>
        <w:t xml:space="preserve"> </w:t>
      </w:r>
      <w:r>
        <w:t>fraud,</w:t>
      </w:r>
      <w:r>
        <w:rPr>
          <w:spacing w:val="-6"/>
        </w:rPr>
        <w:t xml:space="preserve"> </w:t>
      </w:r>
      <w:r>
        <w:t>program</w:t>
      </w:r>
      <w:r>
        <w:rPr>
          <w:spacing w:val="-5"/>
        </w:rPr>
        <w:t xml:space="preserve"> </w:t>
      </w:r>
      <w:r>
        <w:t>abuse</w:t>
      </w:r>
      <w:r>
        <w:rPr>
          <w:spacing w:val="-7"/>
        </w:rPr>
        <w:t xml:space="preserve"> </w:t>
      </w:r>
      <w:r>
        <w:t>and</w:t>
      </w:r>
      <w:r>
        <w:rPr>
          <w:spacing w:val="-6"/>
        </w:rPr>
        <w:t xml:space="preserve"> </w:t>
      </w:r>
      <w:r>
        <w:t>criminal</w:t>
      </w:r>
      <w:r>
        <w:rPr>
          <w:spacing w:val="-5"/>
        </w:rPr>
        <w:t xml:space="preserve"> </w:t>
      </w:r>
      <w:r>
        <w:t>activities</w:t>
      </w:r>
      <w:r>
        <w:rPr>
          <w:spacing w:val="-6"/>
        </w:rPr>
        <w:t xml:space="preserve"> </w:t>
      </w:r>
      <w:r>
        <w:t>involving</w:t>
      </w:r>
      <w:r>
        <w:rPr>
          <w:spacing w:val="-6"/>
        </w:rPr>
        <w:t xml:space="preserve"> </w:t>
      </w:r>
      <w:r>
        <w:t>WIOA Title I-B funds. The detection and prevention of fraud and abuse in programs authorized by the Department</w:t>
      </w:r>
      <w:r>
        <w:rPr>
          <w:spacing w:val="-15"/>
        </w:rPr>
        <w:t xml:space="preserve"> </w:t>
      </w:r>
      <w:r>
        <w:t>of</w:t>
      </w:r>
      <w:r>
        <w:rPr>
          <w:spacing w:val="-15"/>
        </w:rPr>
        <w:t xml:space="preserve"> </w:t>
      </w:r>
      <w:r>
        <w:t>Labor</w:t>
      </w:r>
      <w:r>
        <w:rPr>
          <w:spacing w:val="-15"/>
        </w:rPr>
        <w:t xml:space="preserve"> </w:t>
      </w:r>
      <w:r>
        <w:t>(DOL)</w:t>
      </w:r>
      <w:r>
        <w:rPr>
          <w:spacing w:val="-15"/>
        </w:rPr>
        <w:t xml:space="preserve"> </w:t>
      </w:r>
      <w:r>
        <w:t>are</w:t>
      </w:r>
      <w:r>
        <w:rPr>
          <w:spacing w:val="-15"/>
        </w:rPr>
        <w:t xml:space="preserve"> </w:t>
      </w:r>
      <w:r>
        <w:t>of</w:t>
      </w:r>
      <w:r>
        <w:rPr>
          <w:spacing w:val="-15"/>
        </w:rPr>
        <w:t xml:space="preserve"> </w:t>
      </w:r>
      <w:r>
        <w:t>the</w:t>
      </w:r>
      <w:r>
        <w:rPr>
          <w:spacing w:val="-15"/>
        </w:rPr>
        <w:t xml:space="preserve"> </w:t>
      </w:r>
      <w:r>
        <w:t>highest</w:t>
      </w:r>
      <w:r>
        <w:rPr>
          <w:spacing w:val="-15"/>
        </w:rPr>
        <w:t xml:space="preserve"> </w:t>
      </w:r>
      <w:r>
        <w:t>priority.</w:t>
      </w:r>
      <w:r>
        <w:rPr>
          <w:spacing w:val="-15"/>
        </w:rPr>
        <w:t xml:space="preserve"> </w:t>
      </w:r>
      <w:r>
        <w:t>Therefore,</w:t>
      </w:r>
      <w:r>
        <w:rPr>
          <w:spacing w:val="-15"/>
        </w:rPr>
        <w:t xml:space="preserve"> </w:t>
      </w:r>
      <w:r>
        <w:t>systematic</w:t>
      </w:r>
      <w:r>
        <w:rPr>
          <w:spacing w:val="-15"/>
        </w:rPr>
        <w:t xml:space="preserve"> </w:t>
      </w:r>
      <w:r>
        <w:t>procedures</w:t>
      </w:r>
      <w:r>
        <w:rPr>
          <w:spacing w:val="-15"/>
        </w:rPr>
        <w:t xml:space="preserve"> </w:t>
      </w:r>
      <w:r>
        <w:t>for</w:t>
      </w:r>
      <w:r>
        <w:rPr>
          <w:spacing w:val="-15"/>
        </w:rPr>
        <w:t xml:space="preserve"> </w:t>
      </w:r>
      <w:r>
        <w:t>reporting instances</w:t>
      </w:r>
      <w:r>
        <w:rPr>
          <w:spacing w:val="-1"/>
        </w:rPr>
        <w:t xml:space="preserve"> </w:t>
      </w:r>
      <w:r>
        <w:t>of</w:t>
      </w:r>
      <w:r>
        <w:rPr>
          <w:spacing w:val="-2"/>
        </w:rPr>
        <w:t xml:space="preserve"> </w:t>
      </w:r>
      <w:r>
        <w:t>suspected</w:t>
      </w:r>
      <w:r>
        <w:rPr>
          <w:spacing w:val="-1"/>
        </w:rPr>
        <w:t xml:space="preserve"> </w:t>
      </w:r>
      <w:r>
        <w:t>or actual</w:t>
      </w:r>
      <w:r>
        <w:rPr>
          <w:spacing w:val="-1"/>
        </w:rPr>
        <w:t xml:space="preserve"> </w:t>
      </w:r>
      <w:r>
        <w:t>fraud,</w:t>
      </w:r>
      <w:r>
        <w:rPr>
          <w:spacing w:val="-1"/>
        </w:rPr>
        <w:t xml:space="preserve"> </w:t>
      </w:r>
      <w:r>
        <w:t>abuse</w:t>
      </w:r>
      <w:r>
        <w:rPr>
          <w:spacing w:val="-2"/>
        </w:rPr>
        <w:t xml:space="preserve"> </w:t>
      </w:r>
      <w:r>
        <w:t>or criminal</w:t>
      </w:r>
      <w:r>
        <w:rPr>
          <w:spacing w:val="-1"/>
        </w:rPr>
        <w:t xml:space="preserve"> </w:t>
      </w:r>
      <w:r>
        <w:t>conduct</w:t>
      </w:r>
      <w:r>
        <w:rPr>
          <w:spacing w:val="-1"/>
        </w:rPr>
        <w:t xml:space="preserve"> </w:t>
      </w:r>
      <w:r>
        <w:t>are</w:t>
      </w:r>
      <w:r>
        <w:rPr>
          <w:spacing w:val="-2"/>
        </w:rPr>
        <w:t xml:space="preserve"> </w:t>
      </w:r>
      <w:r>
        <w:t>vital. States,</w:t>
      </w:r>
      <w:r>
        <w:rPr>
          <w:spacing w:val="-1"/>
        </w:rPr>
        <w:t xml:space="preserve"> </w:t>
      </w:r>
      <w:r>
        <w:t>local</w:t>
      </w:r>
      <w:r>
        <w:rPr>
          <w:spacing w:val="-1"/>
        </w:rPr>
        <w:t xml:space="preserve"> </w:t>
      </w:r>
      <w:r>
        <w:t>governments and grantees may become aware of actual, potential or suspected fraud; gross mismanagement or misuse or program funds; conduct violations; violations of regulations; and abuse.</w:t>
      </w:r>
    </w:p>
    <w:p w14:paraId="64149EFA" w14:textId="77777777" w:rsidR="00E80F03" w:rsidRDefault="00E80F03">
      <w:pPr>
        <w:jc w:val="both"/>
        <w:sectPr w:rsidR="00E80F03">
          <w:footerReference w:type="default" r:id="rId7"/>
          <w:type w:val="continuous"/>
          <w:pgSz w:w="12240" w:h="15840"/>
          <w:pgMar w:top="1220" w:right="1160" w:bottom="1740" w:left="1180" w:header="0" w:footer="1547" w:gutter="0"/>
          <w:pgNumType w:start="1"/>
          <w:cols w:space="720"/>
        </w:sectPr>
      </w:pPr>
    </w:p>
    <w:p w14:paraId="64149EFB" w14:textId="77777777" w:rsidR="00E80F03" w:rsidRDefault="00176EC7">
      <w:pPr>
        <w:pStyle w:val="BodyText"/>
        <w:spacing w:before="75"/>
        <w:ind w:left="115" w:right="130"/>
        <w:jc w:val="both"/>
      </w:pPr>
      <w:r>
        <w:lastRenderedPageBreak/>
        <w:t>This policy provides the Office of Inspector General (OIG) contact information, Hotline telephone number and reporting forms and their proper use.</w:t>
      </w:r>
    </w:p>
    <w:p w14:paraId="64149EFC" w14:textId="77777777" w:rsidR="00E80F03" w:rsidRDefault="00E80F03">
      <w:pPr>
        <w:pStyle w:val="BodyText"/>
      </w:pPr>
    </w:p>
    <w:p w14:paraId="64149EFD" w14:textId="59E27AC4" w:rsidR="00E80F03" w:rsidRDefault="00176EC7">
      <w:pPr>
        <w:pStyle w:val="BodyText"/>
        <w:ind w:left="115" w:right="130"/>
        <w:jc w:val="both"/>
      </w:pPr>
      <w:r>
        <w:t xml:space="preserve">Grant recipients must be familiar with Incident Reporting Requirements in </w:t>
      </w:r>
      <w:hyperlink r:id="rId8">
        <w:r>
          <w:rPr>
            <w:color w:val="0000FF"/>
            <w:u w:val="single" w:color="0000FF"/>
          </w:rPr>
          <w:t>SCP 4.7</w:t>
        </w:r>
      </w:hyperlink>
      <w:r>
        <w:t xml:space="preserve">, </w:t>
      </w:r>
      <w:hyperlink r:id="rId9">
        <w:r>
          <w:rPr>
            <w:color w:val="0000FF"/>
            <w:u w:val="single" w:color="0000FF"/>
          </w:rPr>
          <w:t>TEGL</w:t>
        </w:r>
        <w:r>
          <w:rPr>
            <w:color w:val="0000FF"/>
            <w:spacing w:val="40"/>
            <w:u w:val="single" w:color="0000FF"/>
          </w:rPr>
          <w:t xml:space="preserve"> </w:t>
        </w:r>
        <w:r>
          <w:rPr>
            <w:color w:val="0000FF"/>
            <w:u w:val="single" w:color="0000FF"/>
          </w:rPr>
          <w:t>15-23</w:t>
        </w:r>
      </w:hyperlink>
      <w:r>
        <w:rPr>
          <w:color w:val="0000FF"/>
        </w:rPr>
        <w:t xml:space="preserve"> </w:t>
      </w:r>
      <w:r>
        <w:t>and follow the procedures set forth herein for documenting, immediately reporting to the State (W</w:t>
      </w:r>
      <w:r w:rsidR="000043AC">
        <w:t>orkforce Programs</w:t>
      </w:r>
      <w:r>
        <w:t>)/OIG, and following-up on instances of alleged, suspected or known fraud, program abuse and criminal misconduct involving grantees and other recipients, including Eligible Training Providers and subrecipients of Federal funds from ETA.</w:t>
      </w:r>
    </w:p>
    <w:p w14:paraId="64149EFE" w14:textId="77777777" w:rsidR="00E80F03" w:rsidRDefault="00E80F03">
      <w:pPr>
        <w:pStyle w:val="BodyText"/>
      </w:pPr>
    </w:p>
    <w:p w14:paraId="64149EFF" w14:textId="77777777" w:rsidR="00E80F03" w:rsidRDefault="00176EC7">
      <w:pPr>
        <w:pStyle w:val="BodyText"/>
        <w:ind w:left="115" w:right="131"/>
        <w:jc w:val="both"/>
      </w:pPr>
      <w:r>
        <w:rPr>
          <w:b/>
        </w:rPr>
        <w:t>Responsibilities:</w:t>
      </w:r>
      <w:r>
        <w:rPr>
          <w:b/>
          <w:spacing w:val="-11"/>
        </w:rPr>
        <w:t xml:space="preserve"> </w:t>
      </w:r>
      <w:r>
        <w:t>Grant</w:t>
      </w:r>
      <w:r>
        <w:rPr>
          <w:spacing w:val="-10"/>
        </w:rPr>
        <w:t xml:space="preserve"> </w:t>
      </w:r>
      <w:r>
        <w:t>recipients</w:t>
      </w:r>
      <w:r>
        <w:rPr>
          <w:spacing w:val="-10"/>
        </w:rPr>
        <w:t xml:space="preserve"> </w:t>
      </w:r>
      <w:r>
        <w:t>are</w:t>
      </w:r>
      <w:r>
        <w:rPr>
          <w:spacing w:val="-12"/>
        </w:rPr>
        <w:t xml:space="preserve"> </w:t>
      </w:r>
      <w:r>
        <w:t>responsible</w:t>
      </w:r>
      <w:r>
        <w:rPr>
          <w:spacing w:val="-12"/>
        </w:rPr>
        <w:t xml:space="preserve"> </w:t>
      </w:r>
      <w:r>
        <w:t>for</w:t>
      </w:r>
      <w:r>
        <w:rPr>
          <w:spacing w:val="-11"/>
        </w:rPr>
        <w:t xml:space="preserve"> </w:t>
      </w:r>
      <w:r>
        <w:t>following</w:t>
      </w:r>
      <w:r>
        <w:rPr>
          <w:spacing w:val="-11"/>
        </w:rPr>
        <w:t xml:space="preserve"> </w:t>
      </w:r>
      <w:r>
        <w:t>the</w:t>
      </w:r>
      <w:r>
        <w:rPr>
          <w:spacing w:val="-12"/>
        </w:rPr>
        <w:t xml:space="preserve"> </w:t>
      </w:r>
      <w:r>
        <w:t>procedures</w:t>
      </w:r>
      <w:r>
        <w:rPr>
          <w:spacing w:val="-10"/>
        </w:rPr>
        <w:t xml:space="preserve"> </w:t>
      </w:r>
      <w:r>
        <w:t>set</w:t>
      </w:r>
      <w:r>
        <w:rPr>
          <w:spacing w:val="-10"/>
        </w:rPr>
        <w:t xml:space="preserve"> </w:t>
      </w:r>
      <w:r>
        <w:t>forth</w:t>
      </w:r>
      <w:r>
        <w:rPr>
          <w:spacing w:val="-11"/>
        </w:rPr>
        <w:t xml:space="preserve"> </w:t>
      </w:r>
      <w:r>
        <w:t>in</w:t>
      </w:r>
      <w:r>
        <w:rPr>
          <w:spacing w:val="-11"/>
        </w:rPr>
        <w:t xml:space="preserve"> </w:t>
      </w:r>
      <w:r>
        <w:t>this</w:t>
      </w:r>
      <w:r>
        <w:rPr>
          <w:spacing w:val="-10"/>
        </w:rPr>
        <w:t xml:space="preserve"> </w:t>
      </w:r>
      <w:r>
        <w:t xml:space="preserve">policy and </w:t>
      </w:r>
      <w:hyperlink r:id="rId10">
        <w:r>
          <w:rPr>
            <w:color w:val="0000FF"/>
            <w:u w:val="single" w:color="0000FF"/>
          </w:rPr>
          <w:t>SCP 4.7</w:t>
        </w:r>
      </w:hyperlink>
      <w:r>
        <w:rPr>
          <w:color w:val="0000FF"/>
        </w:rPr>
        <w:t xml:space="preserve"> </w:t>
      </w:r>
      <w:r>
        <w:t xml:space="preserve">as required by </w:t>
      </w:r>
      <w:hyperlink r:id="rId11">
        <w:r>
          <w:rPr>
            <w:color w:val="0000FF"/>
            <w:u w:val="single" w:color="0000FF"/>
          </w:rPr>
          <w:t>TEGL 15-23</w:t>
        </w:r>
        <w:r>
          <w:t>.</w:t>
        </w:r>
      </w:hyperlink>
      <w:r>
        <w:t xml:space="preserve"> Grant recipients must immediately document allegations, suspicions and complaints involving possible fraud, program abuse and criminal misconduct using the </w:t>
      </w:r>
      <w:hyperlink r:id="rId12">
        <w:r>
          <w:rPr>
            <w:color w:val="0000FF"/>
            <w:u w:val="single" w:color="0000FF"/>
          </w:rPr>
          <w:t>IR form and instructions</w:t>
        </w:r>
      </w:hyperlink>
      <w:r>
        <w:rPr>
          <w:color w:val="0000FF"/>
        </w:rPr>
        <w:t xml:space="preserve"> </w:t>
      </w:r>
      <w:r>
        <w:t>contained in this link.</w:t>
      </w:r>
    </w:p>
    <w:p w14:paraId="64149F00" w14:textId="77777777" w:rsidR="00E80F03" w:rsidRDefault="00E80F03">
      <w:pPr>
        <w:pStyle w:val="BodyText"/>
      </w:pPr>
    </w:p>
    <w:p w14:paraId="64149F01" w14:textId="7DCE9308" w:rsidR="00E80F03" w:rsidRDefault="00176EC7">
      <w:pPr>
        <w:pStyle w:val="BodyText"/>
        <w:ind w:left="116" w:right="131"/>
        <w:jc w:val="both"/>
      </w:pPr>
      <w:r>
        <w:t>Additionally, situations involving imminent health or</w:t>
      </w:r>
      <w:r>
        <w:rPr>
          <w:spacing w:val="-1"/>
        </w:rPr>
        <w:t xml:space="preserve"> </w:t>
      </w:r>
      <w:r>
        <w:t>safety concerns, or the</w:t>
      </w:r>
      <w:r>
        <w:rPr>
          <w:spacing w:val="-1"/>
        </w:rPr>
        <w:t xml:space="preserve"> </w:t>
      </w:r>
      <w:r>
        <w:t>imminent loss of</w:t>
      </w:r>
      <w:r>
        <w:rPr>
          <w:spacing w:val="-1"/>
        </w:rPr>
        <w:t xml:space="preserve"> </w:t>
      </w:r>
      <w:r>
        <w:t xml:space="preserve">funds exceeding an amount larger than $50,000, are considered emergencies and must immediately be reported to the OIG and [Office of Financial and Administrative Management] (OFAM) </w:t>
      </w:r>
      <w:r>
        <w:rPr>
          <w:b/>
          <w:i/>
        </w:rPr>
        <w:t xml:space="preserve">and </w:t>
      </w:r>
      <w:r w:rsidR="000043AC">
        <w:rPr>
          <w:b/>
          <w:i/>
        </w:rPr>
        <w:t>Workforce Programs</w:t>
      </w:r>
      <w:r>
        <w:rPr>
          <w:b/>
          <w:i/>
        </w:rPr>
        <w:t xml:space="preserve"> </w:t>
      </w:r>
      <w:r>
        <w:t>by telephone and followed up with a written report in the form of an IR, no later than one working day after the telephone report.</w:t>
      </w:r>
    </w:p>
    <w:p w14:paraId="64149F02" w14:textId="77777777" w:rsidR="00E80F03" w:rsidRDefault="00E80F03">
      <w:pPr>
        <w:pStyle w:val="BodyText"/>
      </w:pPr>
    </w:p>
    <w:p w14:paraId="64149F03" w14:textId="3C0E6858" w:rsidR="00E80F03" w:rsidRDefault="00176EC7">
      <w:pPr>
        <w:ind w:left="116" w:right="132"/>
        <w:jc w:val="both"/>
        <w:rPr>
          <w:b/>
          <w:i/>
          <w:sz w:val="24"/>
        </w:rPr>
      </w:pPr>
      <w:r>
        <w:rPr>
          <w:b/>
          <w:i/>
          <w:sz w:val="24"/>
        </w:rPr>
        <w:t>DETR/W</w:t>
      </w:r>
      <w:r w:rsidR="0055139B">
        <w:rPr>
          <w:b/>
          <w:i/>
          <w:sz w:val="24"/>
        </w:rPr>
        <w:t>orkforce Programs</w:t>
      </w:r>
      <w:r>
        <w:rPr>
          <w:b/>
          <w:i/>
          <w:sz w:val="24"/>
        </w:rPr>
        <w:t>, acting on behalf of the Governor, is responsible for submitting the IR to OIG upon</w:t>
      </w:r>
      <w:r>
        <w:rPr>
          <w:b/>
          <w:i/>
          <w:sz w:val="24"/>
        </w:rPr>
        <w:t xml:space="preserve"> receipt and clarification of information of an alleged incident and as appropriate.</w:t>
      </w:r>
    </w:p>
    <w:p w14:paraId="64149F04" w14:textId="77777777" w:rsidR="00E80F03" w:rsidRDefault="00E80F03">
      <w:pPr>
        <w:pStyle w:val="BodyText"/>
        <w:rPr>
          <w:b/>
          <w:i/>
        </w:rPr>
      </w:pPr>
    </w:p>
    <w:p w14:paraId="64149F05" w14:textId="77777777" w:rsidR="00E80F03" w:rsidRDefault="00176EC7">
      <w:pPr>
        <w:pStyle w:val="Heading1"/>
        <w:ind w:left="116"/>
        <w:jc w:val="both"/>
      </w:pPr>
      <w:r>
        <w:t>Hotline</w:t>
      </w:r>
      <w:r>
        <w:rPr>
          <w:spacing w:val="-2"/>
        </w:rPr>
        <w:t xml:space="preserve"> Referrals:</w:t>
      </w:r>
    </w:p>
    <w:p w14:paraId="64149F06" w14:textId="77777777" w:rsidR="00E80F03" w:rsidRDefault="00176EC7">
      <w:pPr>
        <w:pStyle w:val="BodyText"/>
        <w:ind w:left="115" w:right="130"/>
        <w:jc w:val="both"/>
      </w:pPr>
      <w:r>
        <w:t>In</w:t>
      </w:r>
      <w:r>
        <w:rPr>
          <w:spacing w:val="-13"/>
        </w:rPr>
        <w:t xml:space="preserve"> </w:t>
      </w:r>
      <w:r>
        <w:t>addition</w:t>
      </w:r>
      <w:r>
        <w:rPr>
          <w:spacing w:val="-14"/>
        </w:rPr>
        <w:t xml:space="preserve"> </w:t>
      </w:r>
      <w:r>
        <w:t>to</w:t>
      </w:r>
      <w:r>
        <w:rPr>
          <w:spacing w:val="-14"/>
        </w:rPr>
        <w:t xml:space="preserve"> </w:t>
      </w:r>
      <w:r>
        <w:t>the</w:t>
      </w:r>
      <w:r>
        <w:rPr>
          <w:spacing w:val="-15"/>
        </w:rPr>
        <w:t xml:space="preserve"> </w:t>
      </w:r>
      <w:r>
        <w:t>ETA</w:t>
      </w:r>
      <w:r>
        <w:rPr>
          <w:spacing w:val="-15"/>
        </w:rPr>
        <w:t xml:space="preserve"> </w:t>
      </w:r>
      <w:r>
        <w:t>process</w:t>
      </w:r>
      <w:r>
        <w:rPr>
          <w:spacing w:val="-14"/>
        </w:rPr>
        <w:t xml:space="preserve"> </w:t>
      </w:r>
      <w:r>
        <w:t>set</w:t>
      </w:r>
      <w:r>
        <w:rPr>
          <w:spacing w:val="-14"/>
        </w:rPr>
        <w:t xml:space="preserve"> </w:t>
      </w:r>
      <w:r>
        <w:t>forth</w:t>
      </w:r>
      <w:r>
        <w:rPr>
          <w:spacing w:val="-14"/>
        </w:rPr>
        <w:t xml:space="preserve"> </w:t>
      </w:r>
      <w:r>
        <w:t>in</w:t>
      </w:r>
      <w:r>
        <w:rPr>
          <w:spacing w:val="-14"/>
        </w:rPr>
        <w:t xml:space="preserve"> </w:t>
      </w:r>
      <w:hyperlink r:id="rId13">
        <w:r>
          <w:rPr>
            <w:color w:val="0000FF"/>
            <w:u w:val="single" w:color="0000FF"/>
          </w:rPr>
          <w:t>TEGL</w:t>
        </w:r>
        <w:r>
          <w:rPr>
            <w:color w:val="0000FF"/>
            <w:spacing w:val="-15"/>
            <w:u w:val="single" w:color="0000FF"/>
          </w:rPr>
          <w:t xml:space="preserve"> </w:t>
        </w:r>
        <w:r>
          <w:rPr>
            <w:color w:val="0000FF"/>
            <w:u w:val="single" w:color="0000FF"/>
          </w:rPr>
          <w:t>15-23</w:t>
        </w:r>
      </w:hyperlink>
      <w:r>
        <w:t>,</w:t>
      </w:r>
      <w:r>
        <w:rPr>
          <w:spacing w:val="-14"/>
        </w:rPr>
        <w:t xml:space="preserve"> </w:t>
      </w:r>
      <w:r>
        <w:t>the</w:t>
      </w:r>
      <w:r>
        <w:rPr>
          <w:spacing w:val="-15"/>
        </w:rPr>
        <w:t xml:space="preserve"> </w:t>
      </w:r>
      <w:r>
        <w:t>OIG</w:t>
      </w:r>
      <w:r>
        <w:rPr>
          <w:spacing w:val="-15"/>
        </w:rPr>
        <w:t xml:space="preserve"> </w:t>
      </w:r>
      <w:r>
        <w:t>operates</w:t>
      </w:r>
      <w:r>
        <w:rPr>
          <w:spacing w:val="-14"/>
        </w:rPr>
        <w:t xml:space="preserve"> </w:t>
      </w:r>
      <w:r>
        <w:t>the</w:t>
      </w:r>
      <w:r>
        <w:rPr>
          <w:spacing w:val="-15"/>
        </w:rPr>
        <w:t xml:space="preserve"> </w:t>
      </w:r>
      <w:r>
        <w:t>Hotline</w:t>
      </w:r>
      <w:r>
        <w:rPr>
          <w:spacing w:val="-15"/>
        </w:rPr>
        <w:t xml:space="preserve"> </w:t>
      </w:r>
      <w:r>
        <w:t>Portal</w:t>
      </w:r>
      <w:r>
        <w:rPr>
          <w:spacing w:val="-14"/>
        </w:rPr>
        <w:t xml:space="preserve"> </w:t>
      </w:r>
      <w:r>
        <w:t>to</w:t>
      </w:r>
      <w:r>
        <w:rPr>
          <w:spacing w:val="-14"/>
        </w:rPr>
        <w:t xml:space="preserve"> </w:t>
      </w:r>
      <w:r>
        <w:t>receive and process allegations of fraud, waste, and abuse concerning Departmental grants, contracts, programs and operations. The OIG Hotline Portal is also used to address allegations of criminal activity and serious misconduct involving Department employees. Incident reports should be submitted online at</w:t>
      </w:r>
      <w:hyperlink r:id="rId14">
        <w:r>
          <w:rPr>
            <w:color w:val="0000FF"/>
            <w:u w:val="single" w:color="0000FF"/>
          </w:rPr>
          <w:t>: https://www.oig.dol.gov/hotline.htm</w:t>
        </w:r>
      </w:hyperlink>
      <w:r>
        <w:t>.</w:t>
      </w:r>
    </w:p>
    <w:p w14:paraId="64149F07" w14:textId="77777777" w:rsidR="00E80F03" w:rsidRDefault="00E80F03">
      <w:pPr>
        <w:pStyle w:val="BodyText"/>
      </w:pPr>
    </w:p>
    <w:p w14:paraId="64149F08" w14:textId="77777777" w:rsidR="00E80F03" w:rsidRDefault="00176EC7">
      <w:pPr>
        <w:pStyle w:val="BodyText"/>
        <w:spacing w:before="1"/>
        <w:ind w:left="115"/>
      </w:pPr>
      <w:r>
        <w:t>When</w:t>
      </w:r>
      <w:r>
        <w:rPr>
          <w:spacing w:val="35"/>
        </w:rPr>
        <w:t xml:space="preserve"> </w:t>
      </w:r>
      <w:r>
        <w:t>contacting</w:t>
      </w:r>
      <w:r>
        <w:rPr>
          <w:spacing w:val="33"/>
        </w:rPr>
        <w:t xml:space="preserve"> </w:t>
      </w:r>
      <w:r>
        <w:t>OIG</w:t>
      </w:r>
      <w:r>
        <w:rPr>
          <w:spacing w:val="34"/>
        </w:rPr>
        <w:t xml:space="preserve"> </w:t>
      </w:r>
      <w:r>
        <w:t>Hotline,</w:t>
      </w:r>
      <w:r>
        <w:rPr>
          <w:spacing w:val="32"/>
        </w:rPr>
        <w:t xml:space="preserve"> </w:t>
      </w:r>
      <w:r>
        <w:t>provide</w:t>
      </w:r>
      <w:r>
        <w:rPr>
          <w:spacing w:val="34"/>
        </w:rPr>
        <w:t xml:space="preserve"> </w:t>
      </w:r>
      <w:r>
        <w:t>as</w:t>
      </w:r>
      <w:r>
        <w:rPr>
          <w:spacing w:val="33"/>
        </w:rPr>
        <w:t xml:space="preserve"> </w:t>
      </w:r>
      <w:r>
        <w:t>much</w:t>
      </w:r>
      <w:r>
        <w:rPr>
          <w:spacing w:val="33"/>
        </w:rPr>
        <w:t xml:space="preserve"> </w:t>
      </w:r>
      <w:r>
        <w:t>detailed</w:t>
      </w:r>
      <w:r>
        <w:rPr>
          <w:spacing w:val="33"/>
        </w:rPr>
        <w:t xml:space="preserve"> </w:t>
      </w:r>
      <w:r>
        <w:t>information</w:t>
      </w:r>
      <w:r>
        <w:rPr>
          <w:spacing w:val="33"/>
        </w:rPr>
        <w:t xml:space="preserve"> </w:t>
      </w:r>
      <w:r>
        <w:t>as</w:t>
      </w:r>
      <w:r>
        <w:rPr>
          <w:spacing w:val="33"/>
        </w:rPr>
        <w:t xml:space="preserve"> </w:t>
      </w:r>
      <w:r>
        <w:t>possible</w:t>
      </w:r>
      <w:r>
        <w:rPr>
          <w:spacing w:val="32"/>
        </w:rPr>
        <w:t xml:space="preserve"> </w:t>
      </w:r>
      <w:r>
        <w:t>concerning</w:t>
      </w:r>
      <w:r>
        <w:rPr>
          <w:spacing w:val="33"/>
        </w:rPr>
        <w:t xml:space="preserve"> </w:t>
      </w:r>
      <w:r>
        <w:t>the allegations, including:</w:t>
      </w:r>
    </w:p>
    <w:p w14:paraId="64149F09" w14:textId="77777777" w:rsidR="00E80F03" w:rsidRDefault="00176EC7">
      <w:pPr>
        <w:pStyle w:val="ListParagraph"/>
        <w:numPr>
          <w:ilvl w:val="0"/>
          <w:numId w:val="1"/>
        </w:numPr>
        <w:tabs>
          <w:tab w:val="left" w:pos="835"/>
        </w:tabs>
        <w:ind w:left="835"/>
        <w:rPr>
          <w:sz w:val="24"/>
        </w:rPr>
      </w:pPr>
      <w:r>
        <w:rPr>
          <w:sz w:val="24"/>
        </w:rPr>
        <w:t>Who</w:t>
      </w:r>
      <w:r>
        <w:rPr>
          <w:spacing w:val="-1"/>
          <w:sz w:val="24"/>
        </w:rPr>
        <w:t xml:space="preserve"> </w:t>
      </w:r>
      <w:r>
        <w:rPr>
          <w:sz w:val="24"/>
        </w:rPr>
        <w:t xml:space="preserve">is </w:t>
      </w:r>
      <w:r>
        <w:rPr>
          <w:spacing w:val="-2"/>
          <w:sz w:val="24"/>
        </w:rPr>
        <w:t>involved;</w:t>
      </w:r>
    </w:p>
    <w:p w14:paraId="64149F0A" w14:textId="77777777" w:rsidR="00E80F03" w:rsidRDefault="00176EC7">
      <w:pPr>
        <w:pStyle w:val="ListParagraph"/>
        <w:numPr>
          <w:ilvl w:val="0"/>
          <w:numId w:val="1"/>
        </w:numPr>
        <w:tabs>
          <w:tab w:val="left" w:pos="835"/>
        </w:tabs>
        <w:ind w:left="835"/>
        <w:rPr>
          <w:sz w:val="24"/>
        </w:rPr>
      </w:pPr>
      <w:r>
        <w:rPr>
          <w:sz w:val="24"/>
        </w:rPr>
        <w:t>When</w:t>
      </w:r>
      <w:r>
        <w:rPr>
          <w:spacing w:val="-1"/>
          <w:sz w:val="24"/>
        </w:rPr>
        <w:t xml:space="preserve"> </w:t>
      </w:r>
      <w:r>
        <w:rPr>
          <w:sz w:val="24"/>
        </w:rPr>
        <w:t>the</w:t>
      </w:r>
      <w:r>
        <w:rPr>
          <w:spacing w:val="-2"/>
          <w:sz w:val="24"/>
        </w:rPr>
        <w:t xml:space="preserve"> </w:t>
      </w:r>
      <w:r>
        <w:rPr>
          <w:sz w:val="24"/>
        </w:rPr>
        <w:t>situation you</w:t>
      </w:r>
      <w:r>
        <w:rPr>
          <w:spacing w:val="-1"/>
          <w:sz w:val="24"/>
        </w:rPr>
        <w:t xml:space="preserve"> </w:t>
      </w:r>
      <w:r>
        <w:rPr>
          <w:sz w:val="24"/>
        </w:rPr>
        <w:t>are</w:t>
      </w:r>
      <w:r>
        <w:rPr>
          <w:spacing w:val="-2"/>
          <w:sz w:val="24"/>
        </w:rPr>
        <w:t xml:space="preserve"> </w:t>
      </w:r>
      <w:r>
        <w:rPr>
          <w:sz w:val="24"/>
        </w:rPr>
        <w:t xml:space="preserve">reporting </w:t>
      </w:r>
      <w:proofErr w:type="gramStart"/>
      <w:r>
        <w:rPr>
          <w:sz w:val="24"/>
        </w:rPr>
        <w:t>took</w:t>
      </w:r>
      <w:proofErr w:type="gramEnd"/>
      <w:r>
        <w:rPr>
          <w:spacing w:val="-1"/>
          <w:sz w:val="24"/>
        </w:rPr>
        <w:t xml:space="preserve"> </w:t>
      </w:r>
      <w:r>
        <w:rPr>
          <w:sz w:val="24"/>
        </w:rPr>
        <w:t>place</w:t>
      </w:r>
      <w:r>
        <w:rPr>
          <w:spacing w:val="-1"/>
          <w:sz w:val="24"/>
        </w:rPr>
        <w:t xml:space="preserve"> </w:t>
      </w:r>
      <w:r>
        <w:rPr>
          <w:sz w:val="24"/>
        </w:rPr>
        <w:t>and</w:t>
      </w:r>
      <w:r>
        <w:rPr>
          <w:spacing w:val="-1"/>
          <w:sz w:val="24"/>
        </w:rPr>
        <w:t xml:space="preserve"> </w:t>
      </w:r>
      <w:r>
        <w:rPr>
          <w:sz w:val="24"/>
        </w:rPr>
        <w:t>whether</w:t>
      </w:r>
      <w:r>
        <w:rPr>
          <w:spacing w:val="-2"/>
          <w:sz w:val="24"/>
        </w:rPr>
        <w:t xml:space="preserve"> </w:t>
      </w:r>
      <w:r>
        <w:rPr>
          <w:sz w:val="24"/>
        </w:rPr>
        <w:t>it is</w:t>
      </w:r>
      <w:r>
        <w:rPr>
          <w:spacing w:val="-1"/>
          <w:sz w:val="24"/>
        </w:rPr>
        <w:t xml:space="preserve"> </w:t>
      </w:r>
      <w:r>
        <w:rPr>
          <w:sz w:val="24"/>
        </w:rPr>
        <w:t xml:space="preserve">still </w:t>
      </w:r>
      <w:r>
        <w:rPr>
          <w:spacing w:val="-2"/>
          <w:sz w:val="24"/>
        </w:rPr>
        <w:t>ongoing;</w:t>
      </w:r>
    </w:p>
    <w:p w14:paraId="64149F0B" w14:textId="77777777" w:rsidR="00E80F03" w:rsidRDefault="00176EC7">
      <w:pPr>
        <w:pStyle w:val="ListParagraph"/>
        <w:numPr>
          <w:ilvl w:val="0"/>
          <w:numId w:val="1"/>
        </w:numPr>
        <w:tabs>
          <w:tab w:val="left" w:pos="835"/>
        </w:tabs>
        <w:ind w:left="835"/>
        <w:rPr>
          <w:sz w:val="24"/>
        </w:rPr>
      </w:pPr>
      <w:r>
        <w:rPr>
          <w:sz w:val="24"/>
        </w:rPr>
        <w:t>Where</w:t>
      </w:r>
      <w:r>
        <w:rPr>
          <w:spacing w:val="-2"/>
          <w:sz w:val="24"/>
        </w:rPr>
        <w:t xml:space="preserve"> </w:t>
      </w:r>
      <w:r>
        <w:rPr>
          <w:sz w:val="24"/>
        </w:rPr>
        <w:t>the</w:t>
      </w:r>
      <w:r>
        <w:rPr>
          <w:spacing w:val="-2"/>
          <w:sz w:val="24"/>
        </w:rPr>
        <w:t xml:space="preserve"> </w:t>
      </w:r>
      <w:r>
        <w:rPr>
          <w:sz w:val="24"/>
        </w:rPr>
        <w:t xml:space="preserve">situation </w:t>
      </w:r>
      <w:r>
        <w:rPr>
          <w:spacing w:val="-2"/>
          <w:sz w:val="24"/>
        </w:rPr>
        <w:t>occurred;</w:t>
      </w:r>
    </w:p>
    <w:p w14:paraId="64149F0C" w14:textId="77777777" w:rsidR="00E80F03" w:rsidRDefault="00176EC7">
      <w:pPr>
        <w:pStyle w:val="ListParagraph"/>
        <w:numPr>
          <w:ilvl w:val="0"/>
          <w:numId w:val="1"/>
        </w:numPr>
        <w:tabs>
          <w:tab w:val="left" w:pos="835"/>
        </w:tabs>
        <w:ind w:left="835"/>
        <w:rPr>
          <w:sz w:val="24"/>
        </w:rPr>
      </w:pPr>
      <w:r>
        <w:rPr>
          <w:sz w:val="24"/>
        </w:rPr>
        <w:t>What</w:t>
      </w:r>
      <w:r>
        <w:rPr>
          <w:spacing w:val="-4"/>
          <w:sz w:val="24"/>
        </w:rPr>
        <w:t xml:space="preserve"> </w:t>
      </w:r>
      <w:proofErr w:type="gramStart"/>
      <w:r>
        <w:rPr>
          <w:sz w:val="24"/>
        </w:rPr>
        <w:t>happened</w:t>
      </w:r>
      <w:r>
        <w:rPr>
          <w:spacing w:val="-1"/>
          <w:sz w:val="24"/>
        </w:rPr>
        <w:t xml:space="preserve"> </w:t>
      </w:r>
      <w:r>
        <w:rPr>
          <w:sz w:val="24"/>
        </w:rPr>
        <w:t>that</w:t>
      </w:r>
      <w:proofErr w:type="gramEnd"/>
      <w:r>
        <w:rPr>
          <w:spacing w:val="-1"/>
          <w:sz w:val="24"/>
        </w:rPr>
        <w:t xml:space="preserve"> </w:t>
      </w:r>
      <w:r>
        <w:rPr>
          <w:sz w:val="24"/>
        </w:rPr>
        <w:t>was</w:t>
      </w:r>
      <w:r>
        <w:rPr>
          <w:spacing w:val="1"/>
          <w:sz w:val="24"/>
        </w:rPr>
        <w:t xml:space="preserve"> </w:t>
      </w:r>
      <w:r>
        <w:rPr>
          <w:sz w:val="24"/>
        </w:rPr>
        <w:t>inappropriate and</w:t>
      </w:r>
      <w:r>
        <w:rPr>
          <w:spacing w:val="-2"/>
          <w:sz w:val="24"/>
        </w:rPr>
        <w:t xml:space="preserve"> </w:t>
      </w:r>
      <w:r>
        <w:rPr>
          <w:sz w:val="24"/>
        </w:rPr>
        <w:t>prompted</w:t>
      </w:r>
      <w:r>
        <w:rPr>
          <w:spacing w:val="-1"/>
          <w:sz w:val="24"/>
        </w:rPr>
        <w:t xml:space="preserve"> </w:t>
      </w:r>
      <w:r>
        <w:rPr>
          <w:sz w:val="24"/>
        </w:rPr>
        <w:t>you</w:t>
      </w:r>
      <w:r>
        <w:rPr>
          <w:spacing w:val="-1"/>
          <w:sz w:val="24"/>
        </w:rPr>
        <w:t xml:space="preserve"> </w:t>
      </w:r>
      <w:r>
        <w:rPr>
          <w:sz w:val="24"/>
        </w:rPr>
        <w:t>to</w:t>
      </w:r>
      <w:r>
        <w:rPr>
          <w:spacing w:val="-1"/>
          <w:sz w:val="24"/>
        </w:rPr>
        <w:t xml:space="preserve"> </w:t>
      </w:r>
      <w:r>
        <w:rPr>
          <w:sz w:val="24"/>
        </w:rPr>
        <w:t>contact</w:t>
      </w:r>
      <w:r>
        <w:rPr>
          <w:spacing w:val="-1"/>
          <w:sz w:val="24"/>
        </w:rPr>
        <w:t xml:space="preserve"> </w:t>
      </w:r>
      <w:r>
        <w:rPr>
          <w:sz w:val="24"/>
        </w:rPr>
        <w:t>the</w:t>
      </w:r>
      <w:r>
        <w:rPr>
          <w:spacing w:val="-2"/>
          <w:sz w:val="24"/>
        </w:rPr>
        <w:t xml:space="preserve"> </w:t>
      </w:r>
      <w:r>
        <w:rPr>
          <w:sz w:val="24"/>
        </w:rPr>
        <w:t>OIG</w:t>
      </w:r>
      <w:r>
        <w:rPr>
          <w:spacing w:val="-2"/>
          <w:sz w:val="24"/>
        </w:rPr>
        <w:t xml:space="preserve"> Hotline;</w:t>
      </w:r>
    </w:p>
    <w:p w14:paraId="64149F0D" w14:textId="77777777" w:rsidR="00E80F03" w:rsidRDefault="00176EC7">
      <w:pPr>
        <w:pStyle w:val="ListParagraph"/>
        <w:numPr>
          <w:ilvl w:val="0"/>
          <w:numId w:val="1"/>
        </w:numPr>
        <w:tabs>
          <w:tab w:val="left" w:pos="835"/>
        </w:tabs>
        <w:ind w:left="835"/>
        <w:rPr>
          <w:sz w:val="24"/>
        </w:rPr>
      </w:pPr>
      <w:r>
        <w:rPr>
          <w:sz w:val="24"/>
        </w:rPr>
        <w:t>How</w:t>
      </w:r>
      <w:r>
        <w:rPr>
          <w:spacing w:val="-2"/>
          <w:sz w:val="24"/>
        </w:rPr>
        <w:t xml:space="preserve"> </w:t>
      </w:r>
      <w:r>
        <w:rPr>
          <w:sz w:val="24"/>
        </w:rPr>
        <w:t>the</w:t>
      </w:r>
      <w:r>
        <w:rPr>
          <w:spacing w:val="-2"/>
          <w:sz w:val="24"/>
        </w:rPr>
        <w:t xml:space="preserve"> </w:t>
      </w:r>
      <w:r>
        <w:rPr>
          <w:sz w:val="24"/>
        </w:rPr>
        <w:t>situation</w:t>
      </w:r>
      <w:r>
        <w:rPr>
          <w:spacing w:val="-1"/>
          <w:sz w:val="24"/>
        </w:rPr>
        <w:t xml:space="preserve"> </w:t>
      </w:r>
      <w:r>
        <w:rPr>
          <w:sz w:val="24"/>
        </w:rPr>
        <w:t xml:space="preserve">took </w:t>
      </w:r>
      <w:r>
        <w:rPr>
          <w:spacing w:val="-2"/>
          <w:sz w:val="24"/>
        </w:rPr>
        <w:t>place.</w:t>
      </w:r>
    </w:p>
    <w:p w14:paraId="64149F0E" w14:textId="77777777" w:rsidR="00E80F03" w:rsidRDefault="00E80F03">
      <w:pPr>
        <w:pStyle w:val="BodyText"/>
        <w:spacing w:before="1"/>
      </w:pPr>
    </w:p>
    <w:p w14:paraId="64149F0F" w14:textId="77777777" w:rsidR="00E80F03" w:rsidRDefault="00176EC7">
      <w:pPr>
        <w:pStyle w:val="Heading1"/>
        <w:spacing w:line="275" w:lineRule="exact"/>
        <w:jc w:val="both"/>
      </w:pPr>
      <w:r>
        <w:rPr>
          <w:color w:val="212121"/>
        </w:rPr>
        <w:t>OIG</w:t>
      </w:r>
      <w:r>
        <w:rPr>
          <w:color w:val="212121"/>
          <w:spacing w:val="-2"/>
        </w:rPr>
        <w:t xml:space="preserve"> </w:t>
      </w:r>
      <w:r>
        <w:rPr>
          <w:color w:val="212121"/>
        </w:rPr>
        <w:t>Hotline</w:t>
      </w:r>
      <w:r>
        <w:rPr>
          <w:color w:val="212121"/>
          <w:spacing w:val="-3"/>
        </w:rPr>
        <w:t xml:space="preserve"> </w:t>
      </w:r>
      <w:r>
        <w:rPr>
          <w:color w:val="212121"/>
        </w:rPr>
        <w:t>Portal</w:t>
      </w:r>
      <w:r>
        <w:rPr>
          <w:color w:val="212121"/>
          <w:spacing w:val="-2"/>
        </w:rPr>
        <w:t xml:space="preserve"> </w:t>
      </w:r>
      <w:r>
        <w:rPr>
          <w:color w:val="212121"/>
        </w:rPr>
        <w:t>Contact</w:t>
      </w:r>
      <w:r>
        <w:rPr>
          <w:color w:val="212121"/>
          <w:spacing w:val="-2"/>
        </w:rPr>
        <w:t xml:space="preserve"> Information</w:t>
      </w:r>
    </w:p>
    <w:p w14:paraId="64149F10" w14:textId="77777777" w:rsidR="00E80F03" w:rsidRDefault="00176EC7">
      <w:pPr>
        <w:pStyle w:val="BodyText"/>
        <w:ind w:left="115" w:right="130"/>
        <w:jc w:val="both"/>
      </w:pPr>
      <w:r>
        <w:t xml:space="preserve">Hotline complaints can be sent directly to the Complaints Analysis Office, Office of Inspector General, 200 Constitution Avenue, N.W., Room S-5506, Washington, D.C. 20210. They can be telephoned to the OIG on the Toll-Free Hotline at 1-800-347-3756 or (202) 693-6999 (this is not a toll-free number); or they can be emailed to </w:t>
      </w:r>
      <w:hyperlink r:id="rId15">
        <w:r>
          <w:rPr>
            <w:color w:val="0000FF"/>
          </w:rPr>
          <w:t>hotline@oig.dol.gov</w:t>
        </w:r>
      </w:hyperlink>
      <w:r>
        <w:t>. The OIG Hotline should not be used</w:t>
      </w:r>
      <w:r>
        <w:rPr>
          <w:spacing w:val="-4"/>
        </w:rPr>
        <w:t xml:space="preserve"> </w:t>
      </w:r>
      <w:r>
        <w:t>for</w:t>
      </w:r>
      <w:r>
        <w:rPr>
          <w:spacing w:val="-5"/>
        </w:rPr>
        <w:t xml:space="preserve"> </w:t>
      </w:r>
      <w:r>
        <w:t>resolving</w:t>
      </w:r>
      <w:r>
        <w:rPr>
          <w:spacing w:val="-4"/>
        </w:rPr>
        <w:t xml:space="preserve"> </w:t>
      </w:r>
      <w:r>
        <w:t>employee</w:t>
      </w:r>
      <w:r>
        <w:rPr>
          <w:spacing w:val="-5"/>
        </w:rPr>
        <w:t xml:space="preserve"> </w:t>
      </w:r>
      <w:r>
        <w:t>grievances,</w:t>
      </w:r>
      <w:r>
        <w:rPr>
          <w:spacing w:val="-4"/>
        </w:rPr>
        <w:t xml:space="preserve"> </w:t>
      </w:r>
      <w:r>
        <w:t>Equal</w:t>
      </w:r>
      <w:r>
        <w:rPr>
          <w:spacing w:val="-4"/>
        </w:rPr>
        <w:t xml:space="preserve"> </w:t>
      </w:r>
      <w:r>
        <w:t>Employment</w:t>
      </w:r>
      <w:r>
        <w:rPr>
          <w:spacing w:val="-4"/>
        </w:rPr>
        <w:t xml:space="preserve"> </w:t>
      </w:r>
      <w:r>
        <w:t>Opportunity</w:t>
      </w:r>
      <w:r>
        <w:rPr>
          <w:spacing w:val="-7"/>
        </w:rPr>
        <w:t xml:space="preserve"> </w:t>
      </w:r>
      <w:r>
        <w:t>complaints,</w:t>
      </w:r>
      <w:r>
        <w:rPr>
          <w:spacing w:val="-4"/>
        </w:rPr>
        <w:t xml:space="preserve"> </w:t>
      </w:r>
      <w:r>
        <w:t>labor</w:t>
      </w:r>
      <w:r>
        <w:rPr>
          <w:spacing w:val="-5"/>
        </w:rPr>
        <w:t xml:space="preserve"> </w:t>
      </w:r>
      <w:r>
        <w:t>disputes, or other personnel concerns.</w:t>
      </w:r>
    </w:p>
    <w:p w14:paraId="64149F11" w14:textId="77777777" w:rsidR="00E80F03" w:rsidRDefault="00E80F03">
      <w:pPr>
        <w:jc w:val="both"/>
        <w:sectPr w:rsidR="00E80F03">
          <w:pgSz w:w="12240" w:h="15840"/>
          <w:pgMar w:top="1220" w:right="1160" w:bottom="1740" w:left="1180" w:header="0" w:footer="1547" w:gutter="0"/>
          <w:cols w:space="720"/>
        </w:sectPr>
      </w:pPr>
    </w:p>
    <w:p w14:paraId="64149F12" w14:textId="77777777" w:rsidR="00E80F03" w:rsidRDefault="00176EC7">
      <w:pPr>
        <w:pStyle w:val="BodyText"/>
        <w:spacing w:before="75"/>
        <w:ind w:left="115" w:right="3550"/>
      </w:pPr>
      <w:hyperlink r:id="rId16">
        <w:r>
          <w:rPr>
            <w:color w:val="0000FF"/>
            <w:spacing w:val="-2"/>
          </w:rPr>
          <w:t>https://www.oig.dol.gov/</w:t>
        </w:r>
      </w:hyperlink>
      <w:r>
        <w:rPr>
          <w:color w:val="0000FF"/>
          <w:spacing w:val="-2"/>
        </w:rPr>
        <w:t xml:space="preserve"> </w:t>
      </w:r>
      <w:hyperlink r:id="rId17">
        <w:r>
          <w:rPr>
            <w:color w:val="0000FF"/>
            <w:spacing w:val="-2"/>
          </w:rPr>
          <w:t>https://www.oig.dol.gov/hotlineform.htm</w:t>
        </w:r>
      </w:hyperlink>
    </w:p>
    <w:p w14:paraId="64149F13" w14:textId="77777777" w:rsidR="00E80F03" w:rsidRDefault="00176EC7">
      <w:pPr>
        <w:pStyle w:val="BodyText"/>
        <w:spacing w:before="172"/>
        <w:rPr>
          <w:sz w:val="20"/>
        </w:rPr>
      </w:pPr>
      <w:r>
        <w:rPr>
          <w:noProof/>
        </w:rPr>
        <w:drawing>
          <wp:anchor distT="0" distB="0" distL="0" distR="0" simplePos="0" relativeHeight="487587840" behindDoc="1" locked="0" layoutInCell="1" allowOverlap="1" wp14:anchorId="64149F2D" wp14:editId="64149F2E">
            <wp:simplePos x="0" y="0"/>
            <wp:positionH relativeFrom="page">
              <wp:posOffset>918335</wp:posOffset>
            </wp:positionH>
            <wp:positionV relativeFrom="paragraph">
              <wp:posOffset>270766</wp:posOffset>
            </wp:positionV>
            <wp:extent cx="5966388" cy="5431536"/>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8" cstate="print"/>
                    <a:stretch>
                      <a:fillRect/>
                    </a:stretch>
                  </pic:blipFill>
                  <pic:spPr>
                    <a:xfrm>
                      <a:off x="0" y="0"/>
                      <a:ext cx="5966388" cy="5431536"/>
                    </a:xfrm>
                    <a:prstGeom prst="rect">
                      <a:avLst/>
                    </a:prstGeom>
                  </pic:spPr>
                </pic:pic>
              </a:graphicData>
            </a:graphic>
          </wp:anchor>
        </w:drawing>
      </w:r>
    </w:p>
    <w:p w14:paraId="64149F14" w14:textId="77777777" w:rsidR="00E80F03" w:rsidRDefault="00E80F03">
      <w:pPr>
        <w:pStyle w:val="BodyText"/>
      </w:pPr>
    </w:p>
    <w:p w14:paraId="64149F15" w14:textId="77777777" w:rsidR="00E80F03" w:rsidRDefault="00E80F03">
      <w:pPr>
        <w:pStyle w:val="BodyText"/>
        <w:spacing w:before="111"/>
      </w:pPr>
    </w:p>
    <w:p w14:paraId="64149F16" w14:textId="77777777" w:rsidR="00E80F03" w:rsidRDefault="00176EC7">
      <w:pPr>
        <w:pStyle w:val="Heading1"/>
        <w:spacing w:line="276" w:lineRule="auto"/>
      </w:pPr>
      <w:r>
        <w:t>If</w:t>
      </w:r>
      <w:r>
        <w:rPr>
          <w:spacing w:val="-3"/>
        </w:rPr>
        <w:t xml:space="preserve"> </w:t>
      </w:r>
      <w:r>
        <w:t>your</w:t>
      </w:r>
      <w:r>
        <w:rPr>
          <w:spacing w:val="-3"/>
        </w:rPr>
        <w:t xml:space="preserve"> </w:t>
      </w:r>
      <w:r>
        <w:t>complaint</w:t>
      </w:r>
      <w:r>
        <w:rPr>
          <w:spacing w:val="-3"/>
        </w:rPr>
        <w:t xml:space="preserve"> </w:t>
      </w:r>
      <w:r>
        <w:t>involves</w:t>
      </w:r>
      <w:r>
        <w:rPr>
          <w:spacing w:val="-2"/>
        </w:rPr>
        <w:t xml:space="preserve"> </w:t>
      </w:r>
      <w:r>
        <w:t>any</w:t>
      </w:r>
      <w:r>
        <w:rPr>
          <w:spacing w:val="-2"/>
        </w:rPr>
        <w:t xml:space="preserve"> </w:t>
      </w:r>
      <w:r>
        <w:t>of</w:t>
      </w:r>
      <w:r>
        <w:rPr>
          <w:spacing w:val="-3"/>
        </w:rPr>
        <w:t xml:space="preserve"> </w:t>
      </w:r>
      <w:r>
        <w:t>the</w:t>
      </w:r>
      <w:r>
        <w:rPr>
          <w:spacing w:val="-3"/>
        </w:rPr>
        <w:t xml:space="preserve"> </w:t>
      </w:r>
      <w:r>
        <w:t>topics</w:t>
      </w:r>
      <w:r>
        <w:rPr>
          <w:spacing w:val="-2"/>
        </w:rPr>
        <w:t xml:space="preserve"> </w:t>
      </w:r>
      <w:r>
        <w:t>listed</w:t>
      </w:r>
      <w:r>
        <w:rPr>
          <w:spacing w:val="-2"/>
        </w:rPr>
        <w:t xml:space="preserve"> </w:t>
      </w:r>
      <w:r>
        <w:t>below,</w:t>
      </w:r>
      <w:r>
        <w:rPr>
          <w:spacing w:val="-2"/>
        </w:rPr>
        <w:t xml:space="preserve"> </w:t>
      </w:r>
      <w:r>
        <w:t>please</w:t>
      </w:r>
      <w:r>
        <w:rPr>
          <w:spacing w:val="-3"/>
        </w:rPr>
        <w:t xml:space="preserve"> </w:t>
      </w:r>
      <w:r>
        <w:t>DO</w:t>
      </w:r>
      <w:r>
        <w:rPr>
          <w:spacing w:val="-2"/>
        </w:rPr>
        <w:t xml:space="preserve"> </w:t>
      </w:r>
      <w:r>
        <w:t>NOT</w:t>
      </w:r>
      <w:r>
        <w:rPr>
          <w:spacing w:val="-2"/>
        </w:rPr>
        <w:t xml:space="preserve"> </w:t>
      </w:r>
      <w:r>
        <w:t>use</w:t>
      </w:r>
      <w:r>
        <w:rPr>
          <w:spacing w:val="-3"/>
        </w:rPr>
        <w:t xml:space="preserve"> </w:t>
      </w:r>
      <w:r>
        <w:t>this</w:t>
      </w:r>
      <w:r>
        <w:rPr>
          <w:spacing w:val="-2"/>
        </w:rPr>
        <w:t xml:space="preserve"> </w:t>
      </w:r>
      <w:r>
        <w:t>form,</w:t>
      </w:r>
      <w:r>
        <w:rPr>
          <w:spacing w:val="-2"/>
        </w:rPr>
        <w:t xml:space="preserve"> </w:t>
      </w:r>
      <w:r>
        <w:t>but follow the instructions provided.</w:t>
      </w:r>
    </w:p>
    <w:p w14:paraId="64149F17" w14:textId="77777777" w:rsidR="00E80F03" w:rsidRDefault="00176EC7">
      <w:pPr>
        <w:pStyle w:val="BodyText"/>
        <w:spacing w:before="201" w:line="276" w:lineRule="auto"/>
        <w:ind w:left="115"/>
      </w:pPr>
      <w:r>
        <w:t xml:space="preserve">For pay-related complaints or Family and Medical Leave Act issues contact the Wage and Hour </w:t>
      </w:r>
      <w:r>
        <w:rPr>
          <w:spacing w:val="-4"/>
        </w:rPr>
        <w:t>Division</w:t>
      </w:r>
      <w:r>
        <w:rPr>
          <w:spacing w:val="-11"/>
        </w:rPr>
        <w:t xml:space="preserve"> </w:t>
      </w:r>
      <w:r>
        <w:rPr>
          <w:spacing w:val="-4"/>
        </w:rPr>
        <w:t>at</w:t>
      </w:r>
      <w:r>
        <w:rPr>
          <w:spacing w:val="-11"/>
        </w:rPr>
        <w:t xml:space="preserve"> </w:t>
      </w:r>
      <w:r>
        <w:rPr>
          <w:spacing w:val="-4"/>
        </w:rPr>
        <w:t>1-866-4USWAGE</w:t>
      </w:r>
      <w:r>
        <w:rPr>
          <w:spacing w:val="-10"/>
        </w:rPr>
        <w:t xml:space="preserve"> </w:t>
      </w:r>
      <w:r>
        <w:rPr>
          <w:spacing w:val="-4"/>
        </w:rPr>
        <w:t>(1-866-487-9243)</w:t>
      </w:r>
      <w:r>
        <w:rPr>
          <w:spacing w:val="-11"/>
        </w:rPr>
        <w:t xml:space="preserve"> </w:t>
      </w:r>
      <w:r>
        <w:rPr>
          <w:spacing w:val="-4"/>
        </w:rPr>
        <w:t>or</w:t>
      </w:r>
      <w:r>
        <w:rPr>
          <w:spacing w:val="-11"/>
        </w:rPr>
        <w:t xml:space="preserve"> </w:t>
      </w:r>
      <w:r>
        <w:rPr>
          <w:spacing w:val="-4"/>
        </w:rPr>
        <w:t>at</w:t>
      </w:r>
      <w:r>
        <w:rPr>
          <w:spacing w:val="-10"/>
        </w:rPr>
        <w:t xml:space="preserve"> </w:t>
      </w:r>
      <w:hyperlink r:id="rId19">
        <w:r>
          <w:rPr>
            <w:color w:val="0000FF"/>
            <w:spacing w:val="-4"/>
          </w:rPr>
          <w:t>http://webapps.dol.gov/contactwhd/default.aspx</w:t>
        </w:r>
      </w:hyperlink>
    </w:p>
    <w:p w14:paraId="64149F18" w14:textId="77777777" w:rsidR="00E80F03" w:rsidRDefault="00176EC7">
      <w:pPr>
        <w:pStyle w:val="BodyText"/>
        <w:spacing w:before="200"/>
        <w:ind w:left="116" w:right="130"/>
        <w:jc w:val="both"/>
      </w:pPr>
      <w:r>
        <w:t>For concerns or complaints regarding individual pension, health, or other employee benefits, including</w:t>
      </w:r>
      <w:r>
        <w:rPr>
          <w:spacing w:val="-10"/>
        </w:rPr>
        <w:t xml:space="preserve"> </w:t>
      </w:r>
      <w:r>
        <w:t>COBRA</w:t>
      </w:r>
      <w:r>
        <w:rPr>
          <w:spacing w:val="-10"/>
        </w:rPr>
        <w:t xml:space="preserve"> </w:t>
      </w:r>
      <w:r>
        <w:t>coverage</w:t>
      </w:r>
      <w:r>
        <w:rPr>
          <w:spacing w:val="-11"/>
        </w:rPr>
        <w:t xml:space="preserve"> </w:t>
      </w:r>
      <w:r>
        <w:t>issues,</w:t>
      </w:r>
      <w:r>
        <w:rPr>
          <w:spacing w:val="-8"/>
        </w:rPr>
        <w:t xml:space="preserve"> </w:t>
      </w:r>
      <w:r>
        <w:t>contact</w:t>
      </w:r>
      <w:r>
        <w:rPr>
          <w:spacing w:val="-8"/>
        </w:rPr>
        <w:t xml:space="preserve"> </w:t>
      </w:r>
      <w:r>
        <w:t>the</w:t>
      </w:r>
      <w:r>
        <w:rPr>
          <w:spacing w:val="-11"/>
        </w:rPr>
        <w:t xml:space="preserve"> </w:t>
      </w:r>
      <w:r>
        <w:t>Employee</w:t>
      </w:r>
      <w:r>
        <w:rPr>
          <w:spacing w:val="-11"/>
        </w:rPr>
        <w:t xml:space="preserve"> </w:t>
      </w:r>
      <w:r>
        <w:t>Benefits</w:t>
      </w:r>
      <w:r>
        <w:rPr>
          <w:spacing w:val="-9"/>
        </w:rPr>
        <w:t xml:space="preserve"> </w:t>
      </w:r>
      <w:r>
        <w:t>Security</w:t>
      </w:r>
      <w:r>
        <w:rPr>
          <w:spacing w:val="-10"/>
        </w:rPr>
        <w:t xml:space="preserve"> </w:t>
      </w:r>
      <w:r>
        <w:t>Administration</w:t>
      </w:r>
      <w:r>
        <w:rPr>
          <w:spacing w:val="-10"/>
        </w:rPr>
        <w:t xml:space="preserve"> </w:t>
      </w:r>
      <w:r>
        <w:t>at</w:t>
      </w:r>
      <w:r>
        <w:rPr>
          <w:spacing w:val="-9"/>
        </w:rPr>
        <w:t xml:space="preserve"> </w:t>
      </w:r>
      <w:r>
        <w:t xml:space="preserve">1-866- 444-3272 or at </w:t>
      </w:r>
      <w:hyperlink r:id="rId20">
        <w:r>
          <w:rPr>
            <w:color w:val="0000FF"/>
            <w:u w:val="single" w:color="0000FF"/>
          </w:rPr>
          <w:t>http://www.askebsa.dol.gov/WebIntake/Home.aspx</w:t>
        </w:r>
      </w:hyperlink>
    </w:p>
    <w:p w14:paraId="64149F19" w14:textId="77777777" w:rsidR="00E80F03" w:rsidRDefault="00E80F03">
      <w:pPr>
        <w:jc w:val="both"/>
        <w:sectPr w:rsidR="00E80F03">
          <w:pgSz w:w="12240" w:h="15840"/>
          <w:pgMar w:top="1220" w:right="1160" w:bottom="1740" w:left="1180" w:header="0" w:footer="1547" w:gutter="0"/>
          <w:cols w:space="720"/>
        </w:sectPr>
      </w:pPr>
    </w:p>
    <w:p w14:paraId="64149F1A" w14:textId="77777777" w:rsidR="00E80F03" w:rsidRDefault="00176EC7">
      <w:pPr>
        <w:pStyle w:val="BodyText"/>
        <w:spacing w:before="71"/>
        <w:ind w:left="115"/>
      </w:pPr>
      <w:r>
        <w:lastRenderedPageBreak/>
        <w:t>If</w:t>
      </w:r>
      <w:r>
        <w:rPr>
          <w:spacing w:val="-9"/>
        </w:rPr>
        <w:t xml:space="preserve"> </w:t>
      </w:r>
      <w:r>
        <w:t>you</w:t>
      </w:r>
      <w:r>
        <w:rPr>
          <w:spacing w:val="-8"/>
        </w:rPr>
        <w:t xml:space="preserve"> </w:t>
      </w:r>
      <w:r>
        <w:t>are</w:t>
      </w:r>
      <w:r>
        <w:rPr>
          <w:spacing w:val="-7"/>
        </w:rPr>
        <w:t xml:space="preserve"> </w:t>
      </w:r>
      <w:r>
        <w:t>a</w:t>
      </w:r>
      <w:r>
        <w:rPr>
          <w:spacing w:val="-9"/>
        </w:rPr>
        <w:t xml:space="preserve"> </w:t>
      </w:r>
      <w:r>
        <w:t>current</w:t>
      </w:r>
      <w:r>
        <w:rPr>
          <w:spacing w:val="-8"/>
        </w:rPr>
        <w:t xml:space="preserve"> </w:t>
      </w:r>
      <w:r>
        <w:t>or</w:t>
      </w:r>
      <w:r>
        <w:rPr>
          <w:spacing w:val="-9"/>
        </w:rPr>
        <w:t xml:space="preserve"> </w:t>
      </w:r>
      <w:r>
        <w:t>former</w:t>
      </w:r>
      <w:r>
        <w:rPr>
          <w:spacing w:val="-9"/>
        </w:rPr>
        <w:t xml:space="preserve"> </w:t>
      </w:r>
      <w:r>
        <w:t>federal</w:t>
      </w:r>
      <w:r>
        <w:rPr>
          <w:spacing w:val="-8"/>
        </w:rPr>
        <w:t xml:space="preserve"> </w:t>
      </w:r>
      <w:r>
        <w:t>employee</w:t>
      </w:r>
      <w:r>
        <w:rPr>
          <w:spacing w:val="-7"/>
        </w:rPr>
        <w:t xml:space="preserve"> </w:t>
      </w:r>
      <w:r>
        <w:t>and</w:t>
      </w:r>
      <w:r>
        <w:rPr>
          <w:spacing w:val="-8"/>
        </w:rPr>
        <w:t xml:space="preserve"> </w:t>
      </w:r>
      <w:r>
        <w:t>have</w:t>
      </w:r>
      <w:r>
        <w:rPr>
          <w:spacing w:val="-9"/>
        </w:rPr>
        <w:t xml:space="preserve"> </w:t>
      </w:r>
      <w:r>
        <w:t>concerns</w:t>
      </w:r>
      <w:r>
        <w:rPr>
          <w:spacing w:val="-8"/>
        </w:rPr>
        <w:t xml:space="preserve"> </w:t>
      </w:r>
      <w:r>
        <w:t>about</w:t>
      </w:r>
      <w:r>
        <w:rPr>
          <w:spacing w:val="-8"/>
        </w:rPr>
        <w:t xml:space="preserve"> </w:t>
      </w:r>
      <w:r>
        <w:t>your</w:t>
      </w:r>
      <w:r>
        <w:rPr>
          <w:spacing w:val="-9"/>
        </w:rPr>
        <w:t xml:space="preserve"> </w:t>
      </w:r>
      <w:r>
        <w:t>workers'</w:t>
      </w:r>
      <w:r>
        <w:rPr>
          <w:spacing w:val="-6"/>
        </w:rPr>
        <w:t xml:space="preserve"> </w:t>
      </w:r>
      <w:r>
        <w:t xml:space="preserve">compensation claim, see </w:t>
      </w:r>
      <w:hyperlink r:id="rId21">
        <w:r>
          <w:rPr>
            <w:color w:val="0000FF"/>
            <w:u w:val="single" w:color="0000FF"/>
          </w:rPr>
          <w:t>http://www.dol.gov/owcp/owcpkeyp.htm</w:t>
        </w:r>
      </w:hyperlink>
      <w:r>
        <w:rPr>
          <w:color w:val="0000FF"/>
        </w:rPr>
        <w:t xml:space="preserve"> </w:t>
      </w:r>
      <w:r>
        <w:t>for specific contact information.</w:t>
      </w:r>
    </w:p>
    <w:p w14:paraId="64149F1B" w14:textId="77777777" w:rsidR="00E80F03" w:rsidRDefault="00E80F03">
      <w:pPr>
        <w:pStyle w:val="BodyText"/>
      </w:pPr>
    </w:p>
    <w:p w14:paraId="64149F1C" w14:textId="77777777" w:rsidR="00E80F03" w:rsidRDefault="00176EC7">
      <w:pPr>
        <w:pStyle w:val="BodyText"/>
        <w:ind w:left="115"/>
      </w:pPr>
      <w:r>
        <w:t>If</w:t>
      </w:r>
      <w:r>
        <w:rPr>
          <w:spacing w:val="-2"/>
        </w:rPr>
        <w:t xml:space="preserve"> </w:t>
      </w:r>
      <w:r>
        <w:t>you</w:t>
      </w:r>
      <w:r>
        <w:rPr>
          <w:spacing w:val="-1"/>
        </w:rPr>
        <w:t xml:space="preserve"> </w:t>
      </w:r>
      <w:r>
        <w:t>have</w:t>
      </w:r>
      <w:r>
        <w:rPr>
          <w:spacing w:val="-2"/>
        </w:rPr>
        <w:t xml:space="preserve"> </w:t>
      </w:r>
      <w:r>
        <w:t>concerns</w:t>
      </w:r>
      <w:r>
        <w:rPr>
          <w:spacing w:val="-1"/>
        </w:rPr>
        <w:t xml:space="preserve"> </w:t>
      </w:r>
      <w:r>
        <w:t>involving</w:t>
      </w:r>
      <w:r>
        <w:rPr>
          <w:spacing w:val="-1"/>
        </w:rPr>
        <w:t xml:space="preserve"> </w:t>
      </w:r>
      <w:r>
        <w:t>a</w:t>
      </w:r>
      <w:r>
        <w:rPr>
          <w:spacing w:val="-2"/>
        </w:rPr>
        <w:t xml:space="preserve"> </w:t>
      </w:r>
      <w:r>
        <w:t>workers'</w:t>
      </w:r>
      <w:r>
        <w:rPr>
          <w:spacing w:val="-1"/>
        </w:rPr>
        <w:t xml:space="preserve"> </w:t>
      </w:r>
      <w:r>
        <w:t>compensation</w:t>
      </w:r>
      <w:r>
        <w:rPr>
          <w:spacing w:val="-1"/>
        </w:rPr>
        <w:t xml:space="preserve"> </w:t>
      </w:r>
      <w:r>
        <w:t>claim</w:t>
      </w:r>
      <w:r>
        <w:rPr>
          <w:spacing w:val="-1"/>
        </w:rPr>
        <w:t xml:space="preserve"> </w:t>
      </w:r>
      <w:r>
        <w:t>and</w:t>
      </w:r>
      <w:r>
        <w:rPr>
          <w:spacing w:val="-1"/>
        </w:rPr>
        <w:t xml:space="preserve"> </w:t>
      </w:r>
      <w:r>
        <w:t>you</w:t>
      </w:r>
      <w:r>
        <w:rPr>
          <w:spacing w:val="-1"/>
        </w:rPr>
        <w:t xml:space="preserve"> </w:t>
      </w:r>
      <w:r>
        <w:t>are</w:t>
      </w:r>
      <w:r>
        <w:rPr>
          <w:spacing w:val="-2"/>
        </w:rPr>
        <w:t xml:space="preserve"> </w:t>
      </w:r>
      <w:r>
        <w:t>NOT</w:t>
      </w:r>
      <w:r>
        <w:rPr>
          <w:spacing w:val="-1"/>
        </w:rPr>
        <w:t xml:space="preserve"> </w:t>
      </w:r>
      <w:r>
        <w:t>a</w:t>
      </w:r>
      <w:r>
        <w:rPr>
          <w:spacing w:val="-2"/>
        </w:rPr>
        <w:t xml:space="preserve"> </w:t>
      </w:r>
      <w:r>
        <w:t>current</w:t>
      </w:r>
      <w:r>
        <w:rPr>
          <w:spacing w:val="-1"/>
        </w:rPr>
        <w:t xml:space="preserve"> </w:t>
      </w:r>
      <w:r>
        <w:t>or</w:t>
      </w:r>
      <w:r>
        <w:rPr>
          <w:spacing w:val="-2"/>
        </w:rPr>
        <w:t xml:space="preserve"> </w:t>
      </w:r>
      <w:r>
        <w:t>former federal employee, contact your state compensation board.</w:t>
      </w:r>
    </w:p>
    <w:p w14:paraId="64149F1D" w14:textId="77777777" w:rsidR="00E80F03" w:rsidRDefault="00E80F03">
      <w:pPr>
        <w:pStyle w:val="BodyText"/>
      </w:pPr>
    </w:p>
    <w:p w14:paraId="64149F1E" w14:textId="77777777" w:rsidR="00E80F03" w:rsidRDefault="00176EC7">
      <w:pPr>
        <w:pStyle w:val="BodyText"/>
        <w:ind w:left="116"/>
      </w:pPr>
      <w:r>
        <w:t>For</w:t>
      </w:r>
      <w:r>
        <w:rPr>
          <w:spacing w:val="8"/>
        </w:rPr>
        <w:t xml:space="preserve"> </w:t>
      </w:r>
      <w:r>
        <w:t>workplace</w:t>
      </w:r>
      <w:r>
        <w:rPr>
          <w:spacing w:val="8"/>
        </w:rPr>
        <w:t xml:space="preserve"> </w:t>
      </w:r>
      <w:r>
        <w:t>safety</w:t>
      </w:r>
      <w:r>
        <w:rPr>
          <w:spacing w:val="10"/>
        </w:rPr>
        <w:t xml:space="preserve"> </w:t>
      </w:r>
      <w:r>
        <w:t>and</w:t>
      </w:r>
      <w:r>
        <w:rPr>
          <w:spacing w:val="6"/>
        </w:rPr>
        <w:t xml:space="preserve"> </w:t>
      </w:r>
      <w:r>
        <w:t>health</w:t>
      </w:r>
      <w:r>
        <w:rPr>
          <w:spacing w:val="9"/>
        </w:rPr>
        <w:t xml:space="preserve"> </w:t>
      </w:r>
      <w:r>
        <w:t>issues,</w:t>
      </w:r>
      <w:r>
        <w:rPr>
          <w:spacing w:val="9"/>
        </w:rPr>
        <w:t xml:space="preserve"> </w:t>
      </w:r>
      <w:r>
        <w:t>contact</w:t>
      </w:r>
      <w:r>
        <w:rPr>
          <w:spacing w:val="7"/>
        </w:rPr>
        <w:t xml:space="preserve"> </w:t>
      </w:r>
      <w:r>
        <w:t>the</w:t>
      </w:r>
      <w:r>
        <w:rPr>
          <w:spacing w:val="8"/>
        </w:rPr>
        <w:t xml:space="preserve"> </w:t>
      </w:r>
      <w:r>
        <w:t>Occupational</w:t>
      </w:r>
      <w:r>
        <w:rPr>
          <w:spacing w:val="7"/>
        </w:rPr>
        <w:t xml:space="preserve"> </w:t>
      </w:r>
      <w:r>
        <w:t>Safety</w:t>
      </w:r>
      <w:r>
        <w:rPr>
          <w:spacing w:val="9"/>
        </w:rPr>
        <w:t xml:space="preserve"> </w:t>
      </w:r>
      <w:r>
        <w:t>and</w:t>
      </w:r>
      <w:r>
        <w:rPr>
          <w:spacing w:val="9"/>
        </w:rPr>
        <w:t xml:space="preserve"> </w:t>
      </w:r>
      <w:r>
        <w:t>Health</w:t>
      </w:r>
      <w:r>
        <w:rPr>
          <w:spacing w:val="9"/>
        </w:rPr>
        <w:t xml:space="preserve"> </w:t>
      </w:r>
      <w:r>
        <w:t xml:space="preserve">Administration </w:t>
      </w:r>
      <w:r>
        <w:rPr>
          <w:spacing w:val="-2"/>
        </w:rPr>
        <w:t>(OSHA)</w:t>
      </w:r>
      <w:r>
        <w:rPr>
          <w:spacing w:val="-10"/>
        </w:rPr>
        <w:t xml:space="preserve"> </w:t>
      </w:r>
      <w:r>
        <w:rPr>
          <w:spacing w:val="-2"/>
        </w:rPr>
        <w:t>at</w:t>
      </w:r>
      <w:r>
        <w:rPr>
          <w:spacing w:val="-9"/>
        </w:rPr>
        <w:t xml:space="preserve"> </w:t>
      </w:r>
      <w:r>
        <w:rPr>
          <w:spacing w:val="-2"/>
        </w:rPr>
        <w:t>1-800-321-OSHA</w:t>
      </w:r>
      <w:r>
        <w:rPr>
          <w:spacing w:val="-10"/>
        </w:rPr>
        <w:t xml:space="preserve"> </w:t>
      </w:r>
      <w:r>
        <w:rPr>
          <w:spacing w:val="-2"/>
        </w:rPr>
        <w:t>(6742)</w:t>
      </w:r>
      <w:r>
        <w:rPr>
          <w:spacing w:val="-10"/>
        </w:rPr>
        <w:t xml:space="preserve"> </w:t>
      </w:r>
      <w:r>
        <w:rPr>
          <w:spacing w:val="-2"/>
        </w:rPr>
        <w:t>or</w:t>
      </w:r>
      <w:r>
        <w:rPr>
          <w:spacing w:val="-10"/>
        </w:rPr>
        <w:t xml:space="preserve"> </w:t>
      </w:r>
      <w:r>
        <w:rPr>
          <w:spacing w:val="-2"/>
        </w:rPr>
        <w:t>at</w:t>
      </w:r>
      <w:r>
        <w:rPr>
          <w:spacing w:val="-12"/>
        </w:rPr>
        <w:t xml:space="preserve"> </w:t>
      </w:r>
      <w:hyperlink r:id="rId22">
        <w:r>
          <w:rPr>
            <w:color w:val="0000FF"/>
            <w:spacing w:val="-2"/>
            <w:u w:val="single" w:color="0000FF"/>
          </w:rPr>
          <w:t>https://www.osha.gov/pls/osha7/eComplaintForm.html</w:t>
        </w:r>
      </w:hyperlink>
    </w:p>
    <w:p w14:paraId="64149F1F" w14:textId="77777777" w:rsidR="00E80F03" w:rsidRDefault="00E80F03">
      <w:pPr>
        <w:pStyle w:val="BodyText"/>
      </w:pPr>
    </w:p>
    <w:p w14:paraId="64149F20" w14:textId="77777777" w:rsidR="00E80F03" w:rsidRDefault="00176EC7">
      <w:pPr>
        <w:pStyle w:val="BodyText"/>
        <w:ind w:left="115" w:right="129"/>
        <w:jc w:val="both"/>
      </w:pPr>
      <w:r>
        <w:t xml:space="preserve">To file a complaint under a whistleblower statute enforced by OSHA go </w:t>
      </w:r>
      <w:proofErr w:type="gramStart"/>
      <w:r>
        <w:t>to:</w:t>
      </w:r>
      <w:proofErr w:type="gramEnd"/>
      <w:r>
        <w:t xml:space="preserve"> </w:t>
      </w:r>
      <w:r>
        <w:rPr>
          <w:color w:val="0000FF"/>
          <w:spacing w:val="-2"/>
        </w:rPr>
        <w:t>https://</w:t>
      </w:r>
      <w:hyperlink r:id="rId23">
        <w:r>
          <w:rPr>
            <w:color w:val="0000FF"/>
            <w:spacing w:val="-2"/>
          </w:rPr>
          <w:t>www.osha.gov/whistleblower/WBComplaint.html</w:t>
        </w:r>
      </w:hyperlink>
    </w:p>
    <w:p w14:paraId="64149F21" w14:textId="77777777" w:rsidR="00E80F03" w:rsidRDefault="00E80F03">
      <w:pPr>
        <w:pStyle w:val="BodyText"/>
      </w:pPr>
    </w:p>
    <w:p w14:paraId="64149F22" w14:textId="77777777" w:rsidR="00E80F03" w:rsidRDefault="00176EC7">
      <w:pPr>
        <w:pStyle w:val="BodyText"/>
        <w:ind w:left="115" w:right="130"/>
        <w:jc w:val="both"/>
      </w:pPr>
      <w:r>
        <w:rPr>
          <w:spacing w:val="-2"/>
        </w:rPr>
        <w:t>To</w:t>
      </w:r>
      <w:r>
        <w:rPr>
          <w:spacing w:val="-4"/>
        </w:rPr>
        <w:t xml:space="preserve"> </w:t>
      </w:r>
      <w:r>
        <w:rPr>
          <w:spacing w:val="-2"/>
        </w:rPr>
        <w:t>report</w:t>
      </w:r>
      <w:r>
        <w:rPr>
          <w:spacing w:val="-5"/>
        </w:rPr>
        <w:t xml:space="preserve"> </w:t>
      </w:r>
      <w:r>
        <w:rPr>
          <w:spacing w:val="-2"/>
        </w:rPr>
        <w:t>mining</w:t>
      </w:r>
      <w:r>
        <w:rPr>
          <w:spacing w:val="-4"/>
        </w:rPr>
        <w:t xml:space="preserve"> </w:t>
      </w:r>
      <w:r>
        <w:rPr>
          <w:spacing w:val="-2"/>
        </w:rPr>
        <w:t>safety</w:t>
      </w:r>
      <w:r>
        <w:rPr>
          <w:spacing w:val="-4"/>
        </w:rPr>
        <w:t xml:space="preserve"> </w:t>
      </w:r>
      <w:r>
        <w:rPr>
          <w:spacing w:val="-2"/>
        </w:rPr>
        <w:t>and</w:t>
      </w:r>
      <w:r>
        <w:rPr>
          <w:spacing w:val="-6"/>
        </w:rPr>
        <w:t xml:space="preserve"> </w:t>
      </w:r>
      <w:r>
        <w:rPr>
          <w:spacing w:val="-2"/>
        </w:rPr>
        <w:t>health</w:t>
      </w:r>
      <w:r>
        <w:rPr>
          <w:spacing w:val="-6"/>
        </w:rPr>
        <w:t xml:space="preserve"> </w:t>
      </w:r>
      <w:r>
        <w:rPr>
          <w:spacing w:val="-2"/>
        </w:rPr>
        <w:t>issues,</w:t>
      </w:r>
      <w:r>
        <w:rPr>
          <w:spacing w:val="-6"/>
        </w:rPr>
        <w:t xml:space="preserve"> </w:t>
      </w:r>
      <w:r>
        <w:rPr>
          <w:spacing w:val="-2"/>
        </w:rPr>
        <w:t>contact</w:t>
      </w:r>
      <w:r>
        <w:rPr>
          <w:spacing w:val="-5"/>
        </w:rPr>
        <w:t xml:space="preserve"> </w:t>
      </w:r>
      <w:r>
        <w:rPr>
          <w:spacing w:val="-2"/>
        </w:rPr>
        <w:t>the</w:t>
      </w:r>
      <w:r>
        <w:rPr>
          <w:spacing w:val="-7"/>
        </w:rPr>
        <w:t xml:space="preserve"> </w:t>
      </w:r>
      <w:r>
        <w:rPr>
          <w:spacing w:val="-2"/>
        </w:rPr>
        <w:t>Mine</w:t>
      </w:r>
      <w:r>
        <w:rPr>
          <w:spacing w:val="-7"/>
        </w:rPr>
        <w:t xml:space="preserve"> </w:t>
      </w:r>
      <w:r>
        <w:rPr>
          <w:spacing w:val="-2"/>
        </w:rPr>
        <w:t>Safety</w:t>
      </w:r>
      <w:r>
        <w:rPr>
          <w:spacing w:val="-4"/>
        </w:rPr>
        <w:t xml:space="preserve"> </w:t>
      </w:r>
      <w:r>
        <w:rPr>
          <w:spacing w:val="-2"/>
        </w:rPr>
        <w:t>and</w:t>
      </w:r>
      <w:r>
        <w:rPr>
          <w:spacing w:val="-6"/>
        </w:rPr>
        <w:t xml:space="preserve"> </w:t>
      </w:r>
      <w:r>
        <w:rPr>
          <w:spacing w:val="-2"/>
        </w:rPr>
        <w:t>Health</w:t>
      </w:r>
      <w:r>
        <w:rPr>
          <w:spacing w:val="-6"/>
        </w:rPr>
        <w:t xml:space="preserve"> </w:t>
      </w:r>
      <w:r>
        <w:rPr>
          <w:spacing w:val="-2"/>
        </w:rPr>
        <w:t>Administration</w:t>
      </w:r>
      <w:r>
        <w:rPr>
          <w:spacing w:val="-4"/>
        </w:rPr>
        <w:t xml:space="preserve"> </w:t>
      </w:r>
      <w:r>
        <w:rPr>
          <w:spacing w:val="-2"/>
        </w:rPr>
        <w:t>at1-800- 746-1553.</w:t>
      </w:r>
    </w:p>
    <w:p w14:paraId="64149F23" w14:textId="77777777" w:rsidR="00E80F03" w:rsidRDefault="00E80F03">
      <w:pPr>
        <w:pStyle w:val="BodyText"/>
      </w:pPr>
    </w:p>
    <w:p w14:paraId="64149F24" w14:textId="77777777" w:rsidR="00E80F03" w:rsidRDefault="00176EC7">
      <w:pPr>
        <w:pStyle w:val="BodyText"/>
        <w:ind w:left="115" w:right="133"/>
        <w:jc w:val="both"/>
      </w:pPr>
      <w:r>
        <w:t>To report union representation issues or allegations of unfair labor practices by management and/or union officials, contact the National Labor Relations Board at 1-866-667-6572.</w:t>
      </w:r>
    </w:p>
    <w:p w14:paraId="64149F25" w14:textId="77777777" w:rsidR="00E80F03" w:rsidRDefault="00E80F03">
      <w:pPr>
        <w:pStyle w:val="BodyText"/>
      </w:pPr>
    </w:p>
    <w:p w14:paraId="64149F26" w14:textId="77777777" w:rsidR="00E80F03" w:rsidRDefault="00176EC7">
      <w:pPr>
        <w:pStyle w:val="BodyText"/>
        <w:ind w:left="115" w:right="134"/>
        <w:jc w:val="both"/>
      </w:pPr>
      <w:r>
        <w:t>To file a workplace discrimination or sexual harassment complaint, contact the U.S. Equal Employment Opportunity Commission at 1-800-669-4000.</w:t>
      </w:r>
    </w:p>
    <w:p w14:paraId="64149F27" w14:textId="77777777" w:rsidR="00E80F03" w:rsidRDefault="00E80F03">
      <w:pPr>
        <w:pStyle w:val="BodyText"/>
      </w:pPr>
    </w:p>
    <w:p w14:paraId="64149F28" w14:textId="77777777" w:rsidR="00E80F03" w:rsidRDefault="00176EC7">
      <w:pPr>
        <w:pStyle w:val="BodyText"/>
        <w:ind w:left="115" w:right="136"/>
        <w:jc w:val="both"/>
      </w:pPr>
      <w:r>
        <w:t>If you believe that a claim for unemployment benefits has been unfairly denied, contact your state's unemployment compensation office.</w:t>
      </w:r>
    </w:p>
    <w:p w14:paraId="64149F29" w14:textId="77777777" w:rsidR="00E80F03" w:rsidRDefault="00E80F03">
      <w:pPr>
        <w:pStyle w:val="BodyText"/>
      </w:pPr>
    </w:p>
    <w:p w14:paraId="64149F2A" w14:textId="77777777" w:rsidR="00E80F03" w:rsidRDefault="00176EC7">
      <w:pPr>
        <w:pStyle w:val="BodyText"/>
        <w:ind w:left="115" w:right="132"/>
        <w:jc w:val="both"/>
      </w:pPr>
      <w:r>
        <w:t>For</w:t>
      </w:r>
      <w:r>
        <w:rPr>
          <w:spacing w:val="-15"/>
        </w:rPr>
        <w:t xml:space="preserve"> </w:t>
      </w:r>
      <w:r>
        <w:t>all</w:t>
      </w:r>
      <w:r>
        <w:rPr>
          <w:spacing w:val="-15"/>
        </w:rPr>
        <w:t xml:space="preserve"> </w:t>
      </w:r>
      <w:r>
        <w:t>other</w:t>
      </w:r>
      <w:r>
        <w:rPr>
          <w:spacing w:val="-15"/>
        </w:rPr>
        <w:t xml:space="preserve"> </w:t>
      </w:r>
      <w:r>
        <w:t>general</w:t>
      </w:r>
      <w:r>
        <w:rPr>
          <w:spacing w:val="-15"/>
        </w:rPr>
        <w:t xml:space="preserve"> </w:t>
      </w:r>
      <w:r>
        <w:t>DOL-related</w:t>
      </w:r>
      <w:r>
        <w:rPr>
          <w:spacing w:val="-15"/>
        </w:rPr>
        <w:t xml:space="preserve"> </w:t>
      </w:r>
      <w:r>
        <w:t>inquires</w:t>
      </w:r>
      <w:r>
        <w:rPr>
          <w:spacing w:val="-15"/>
        </w:rPr>
        <w:t xml:space="preserve"> </w:t>
      </w:r>
      <w:r>
        <w:t>that</w:t>
      </w:r>
      <w:r>
        <w:rPr>
          <w:spacing w:val="-15"/>
        </w:rPr>
        <w:t xml:space="preserve"> </w:t>
      </w:r>
      <w:r>
        <w:t>do</w:t>
      </w:r>
      <w:r>
        <w:rPr>
          <w:spacing w:val="-15"/>
        </w:rPr>
        <w:t xml:space="preserve"> </w:t>
      </w:r>
      <w:r>
        <w:t>not</w:t>
      </w:r>
      <w:r>
        <w:rPr>
          <w:spacing w:val="-15"/>
        </w:rPr>
        <w:t xml:space="preserve"> </w:t>
      </w:r>
      <w:r>
        <w:t>involve</w:t>
      </w:r>
      <w:r>
        <w:rPr>
          <w:spacing w:val="-15"/>
        </w:rPr>
        <w:t xml:space="preserve"> </w:t>
      </w:r>
      <w:r>
        <w:t>fraud,</w:t>
      </w:r>
      <w:r>
        <w:rPr>
          <w:spacing w:val="-15"/>
        </w:rPr>
        <w:t xml:space="preserve"> </w:t>
      </w:r>
      <w:r>
        <w:t>waste</w:t>
      </w:r>
      <w:r>
        <w:rPr>
          <w:spacing w:val="-15"/>
        </w:rPr>
        <w:t xml:space="preserve"> </w:t>
      </w:r>
      <w:r>
        <w:t>or</w:t>
      </w:r>
      <w:r>
        <w:rPr>
          <w:spacing w:val="-15"/>
        </w:rPr>
        <w:t xml:space="preserve"> </w:t>
      </w:r>
      <w:r>
        <w:t>abuse</w:t>
      </w:r>
      <w:r>
        <w:rPr>
          <w:spacing w:val="-15"/>
        </w:rPr>
        <w:t xml:space="preserve"> </w:t>
      </w:r>
      <w:r>
        <w:t>in</w:t>
      </w:r>
      <w:r>
        <w:rPr>
          <w:spacing w:val="-15"/>
        </w:rPr>
        <w:t xml:space="preserve"> </w:t>
      </w:r>
      <w:r>
        <w:t>DOL</w:t>
      </w:r>
      <w:r>
        <w:rPr>
          <w:spacing w:val="-15"/>
        </w:rPr>
        <w:t xml:space="preserve"> </w:t>
      </w:r>
      <w:r>
        <w:t>programs, or misconduct by DOL employees, contractors, or grantees, contact the U.S. Department of Labor National Contact Center at 1-866-4-USA-DOL (1-866-487-2365).</w:t>
      </w:r>
    </w:p>
    <w:p w14:paraId="64149F2B" w14:textId="77777777" w:rsidR="00E80F03" w:rsidRDefault="00E80F03">
      <w:pPr>
        <w:pStyle w:val="BodyText"/>
      </w:pPr>
    </w:p>
    <w:p w14:paraId="64149F2C" w14:textId="77777777" w:rsidR="00E80F03" w:rsidRDefault="00176EC7">
      <w:pPr>
        <w:pStyle w:val="BodyText"/>
        <w:ind w:left="115" w:right="132"/>
        <w:jc w:val="both"/>
      </w:pPr>
      <w:r>
        <w:t xml:space="preserve">To report a fraud, waste, and abuse complaint involving another Federal agency besides DOL, see </w:t>
      </w:r>
      <w:hyperlink r:id="rId24">
        <w:r>
          <w:rPr>
            <w:color w:val="0000FF"/>
            <w:u w:val="single" w:color="0000FF"/>
          </w:rPr>
          <w:t>https://www.ignet.gov/content/inspectors-general-directory</w:t>
        </w:r>
      </w:hyperlink>
      <w:r>
        <w:rPr>
          <w:color w:val="0000FF"/>
        </w:rPr>
        <w:t xml:space="preserve"> </w:t>
      </w:r>
      <w:r>
        <w:t>for contact information for all Federal Inspectors General.</w:t>
      </w:r>
    </w:p>
    <w:sectPr w:rsidR="00E80F03">
      <w:pgSz w:w="12240" w:h="15840"/>
      <w:pgMar w:top="1500" w:right="1160" w:bottom="1740" w:left="1180" w:header="0" w:footer="1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9A2A" w14:textId="77777777" w:rsidR="00176EC7" w:rsidRDefault="00176EC7">
      <w:r>
        <w:separator/>
      </w:r>
    </w:p>
  </w:endnote>
  <w:endnote w:type="continuationSeparator" w:id="0">
    <w:p w14:paraId="6EACE694" w14:textId="77777777" w:rsidR="00176EC7" w:rsidRDefault="0017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9F2F" w14:textId="77777777" w:rsidR="00E80F03" w:rsidRDefault="00176EC7">
    <w:pPr>
      <w:pStyle w:val="BodyText"/>
      <w:spacing w:line="14" w:lineRule="auto"/>
      <w:rPr>
        <w:sz w:val="20"/>
      </w:rPr>
    </w:pPr>
    <w:r>
      <w:rPr>
        <w:noProof/>
      </w:rPr>
      <mc:AlternateContent>
        <mc:Choice Requires="wps">
          <w:drawing>
            <wp:anchor distT="0" distB="0" distL="0" distR="0" simplePos="0" relativeHeight="487523328" behindDoc="1" locked="0" layoutInCell="1" allowOverlap="1" wp14:anchorId="64149F30" wp14:editId="64149F31">
              <wp:simplePos x="0" y="0"/>
              <wp:positionH relativeFrom="page">
                <wp:posOffset>810259</wp:posOffset>
              </wp:positionH>
              <wp:positionV relativeFrom="page">
                <wp:posOffset>8936481</wp:posOffset>
              </wp:positionV>
              <wp:extent cx="217995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678180"/>
                      </a:xfrm>
                      <a:prstGeom prst="rect">
                        <a:avLst/>
                      </a:prstGeom>
                    </wps:spPr>
                    <wps:txbx>
                      <w:txbxContent>
                        <w:p w14:paraId="64149F32" w14:textId="40C15EDF" w:rsidR="00E80F03" w:rsidRDefault="00176EC7">
                          <w:pPr>
                            <w:spacing w:before="12" w:line="207" w:lineRule="exact"/>
                            <w:ind w:left="20"/>
                            <w:rPr>
                              <w:sz w:val="18"/>
                            </w:rPr>
                          </w:pPr>
                          <w:r>
                            <w:rPr>
                              <w:spacing w:val="-2"/>
                              <w:sz w:val="18"/>
                            </w:rPr>
                            <w:t>DETR/ESD/</w:t>
                          </w:r>
                          <w:r w:rsidR="0055139B">
                            <w:rPr>
                              <w:spacing w:val="-2"/>
                              <w:sz w:val="18"/>
                            </w:rPr>
                            <w:t>Workforce Programs</w:t>
                          </w:r>
                        </w:p>
                        <w:p w14:paraId="64149F33" w14:textId="77777777" w:rsidR="00E80F03" w:rsidRDefault="00176EC7">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64149F34" w14:textId="77777777" w:rsidR="00E80F03" w:rsidRDefault="00176EC7">
                          <w:pPr>
                            <w:ind w:left="20"/>
                            <w:rPr>
                              <w:sz w:val="18"/>
                            </w:rPr>
                          </w:pPr>
                          <w:r>
                            <w:rPr>
                              <w:sz w:val="18"/>
                            </w:rPr>
                            <w:t>SCP</w:t>
                          </w:r>
                          <w:r>
                            <w:rPr>
                              <w:spacing w:val="-5"/>
                              <w:sz w:val="18"/>
                            </w:rPr>
                            <w:t xml:space="preserve"> </w:t>
                          </w:r>
                          <w:r>
                            <w:rPr>
                              <w:sz w:val="18"/>
                            </w:rPr>
                            <w:t>5.2</w:t>
                          </w:r>
                          <w:r>
                            <w:rPr>
                              <w:spacing w:val="-7"/>
                              <w:sz w:val="18"/>
                            </w:rPr>
                            <w:t xml:space="preserve"> </w:t>
                          </w:r>
                          <w:r>
                            <w:rPr>
                              <w:sz w:val="18"/>
                            </w:rPr>
                            <w:t>Forms</w:t>
                          </w:r>
                          <w:r>
                            <w:rPr>
                              <w:spacing w:val="-6"/>
                              <w:sz w:val="18"/>
                            </w:rPr>
                            <w:t xml:space="preserve"> </w:t>
                          </w:r>
                          <w:r>
                            <w:rPr>
                              <w:sz w:val="18"/>
                            </w:rPr>
                            <w:t>for</w:t>
                          </w:r>
                          <w:r>
                            <w:rPr>
                              <w:spacing w:val="-7"/>
                              <w:sz w:val="18"/>
                            </w:rPr>
                            <w:t xml:space="preserve"> </w:t>
                          </w:r>
                          <w:r>
                            <w:rPr>
                              <w:sz w:val="18"/>
                            </w:rPr>
                            <w:t>Reporting</w:t>
                          </w:r>
                          <w:r>
                            <w:rPr>
                              <w:spacing w:val="-5"/>
                              <w:sz w:val="18"/>
                            </w:rPr>
                            <w:t xml:space="preserve"> </w:t>
                          </w:r>
                          <w:r>
                            <w:rPr>
                              <w:sz w:val="18"/>
                            </w:rPr>
                            <w:t>Fraud</w:t>
                          </w:r>
                          <w:r>
                            <w:rPr>
                              <w:spacing w:val="-5"/>
                              <w:sz w:val="18"/>
                            </w:rPr>
                            <w:t xml:space="preserve"> </w:t>
                          </w:r>
                          <w:r>
                            <w:rPr>
                              <w:sz w:val="18"/>
                            </w:rPr>
                            <w:t>and</w:t>
                          </w:r>
                          <w:r>
                            <w:rPr>
                              <w:spacing w:val="-5"/>
                              <w:sz w:val="18"/>
                            </w:rPr>
                            <w:t xml:space="preserve"> </w:t>
                          </w:r>
                          <w:r>
                            <w:rPr>
                              <w:sz w:val="18"/>
                            </w:rPr>
                            <w:t>Abuse July 2024</w:t>
                          </w:r>
                        </w:p>
                        <w:p w14:paraId="64149F35" w14:textId="77777777" w:rsidR="00E80F03" w:rsidRDefault="00176EC7">
                          <w:pPr>
                            <w:spacing w:before="1"/>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type w14:anchorId="64149F30" id="_x0000_t202" coordsize="21600,21600" o:spt="202" path="m,l,21600r21600,l21600,xe">
              <v:stroke joinstyle="miter"/>
              <v:path gradientshapeok="t" o:connecttype="rect"/>
            </v:shapetype>
            <v:shape id="Textbox 1" o:spid="_x0000_s1026" type="#_x0000_t202" style="position:absolute;margin-left:63.8pt;margin-top:703.65pt;width:171.65pt;height:53.4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" filled="f" stroked="f">
              <v:textbox inset="0,0,0,0">
                <w:txbxContent>
                  <w:p w14:paraId="64149F32" w14:textId="40C15EDF" w:rsidR="00E80F03" w:rsidRDefault="00176EC7">
                    <w:pPr>
                      <w:spacing w:before="12" w:line="207" w:lineRule="exact"/>
                      <w:ind w:left="20"/>
                      <w:rPr>
                        <w:sz w:val="18"/>
                      </w:rPr>
                    </w:pPr>
                    <w:r>
                      <w:rPr>
                        <w:spacing w:val="-2"/>
                        <w:sz w:val="18"/>
                      </w:rPr>
                      <w:t>DETR/ESD/</w:t>
                    </w:r>
                    <w:r w:rsidR="0055139B">
                      <w:rPr>
                        <w:spacing w:val="-2"/>
                        <w:sz w:val="18"/>
                      </w:rPr>
                      <w:t>Workforce Programs</w:t>
                    </w:r>
                  </w:p>
                  <w:p w14:paraId="64149F33" w14:textId="77777777" w:rsidR="00E80F03" w:rsidRDefault="00176EC7">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64149F34" w14:textId="77777777" w:rsidR="00E80F03" w:rsidRDefault="00176EC7">
                    <w:pPr>
                      <w:ind w:left="20"/>
                      <w:rPr>
                        <w:sz w:val="18"/>
                      </w:rPr>
                    </w:pPr>
                    <w:r>
                      <w:rPr>
                        <w:sz w:val="18"/>
                      </w:rPr>
                      <w:t>SCP</w:t>
                    </w:r>
                    <w:r>
                      <w:rPr>
                        <w:spacing w:val="-5"/>
                        <w:sz w:val="18"/>
                      </w:rPr>
                      <w:t xml:space="preserve"> </w:t>
                    </w:r>
                    <w:r>
                      <w:rPr>
                        <w:sz w:val="18"/>
                      </w:rPr>
                      <w:t>5.2</w:t>
                    </w:r>
                    <w:r>
                      <w:rPr>
                        <w:spacing w:val="-7"/>
                        <w:sz w:val="18"/>
                      </w:rPr>
                      <w:t xml:space="preserve"> </w:t>
                    </w:r>
                    <w:r>
                      <w:rPr>
                        <w:sz w:val="18"/>
                      </w:rPr>
                      <w:t>Forms</w:t>
                    </w:r>
                    <w:r>
                      <w:rPr>
                        <w:spacing w:val="-6"/>
                        <w:sz w:val="18"/>
                      </w:rPr>
                      <w:t xml:space="preserve"> </w:t>
                    </w:r>
                    <w:r>
                      <w:rPr>
                        <w:sz w:val="18"/>
                      </w:rPr>
                      <w:t>for</w:t>
                    </w:r>
                    <w:r>
                      <w:rPr>
                        <w:spacing w:val="-7"/>
                        <w:sz w:val="18"/>
                      </w:rPr>
                      <w:t xml:space="preserve"> </w:t>
                    </w:r>
                    <w:r>
                      <w:rPr>
                        <w:sz w:val="18"/>
                      </w:rPr>
                      <w:t>Reporting</w:t>
                    </w:r>
                    <w:r>
                      <w:rPr>
                        <w:spacing w:val="-5"/>
                        <w:sz w:val="18"/>
                      </w:rPr>
                      <w:t xml:space="preserve"> </w:t>
                    </w:r>
                    <w:r>
                      <w:rPr>
                        <w:sz w:val="18"/>
                      </w:rPr>
                      <w:t>Fraud</w:t>
                    </w:r>
                    <w:r>
                      <w:rPr>
                        <w:spacing w:val="-5"/>
                        <w:sz w:val="18"/>
                      </w:rPr>
                      <w:t xml:space="preserve"> </w:t>
                    </w:r>
                    <w:r>
                      <w:rPr>
                        <w:sz w:val="18"/>
                      </w:rPr>
                      <w:t>and</w:t>
                    </w:r>
                    <w:r>
                      <w:rPr>
                        <w:spacing w:val="-5"/>
                        <w:sz w:val="18"/>
                      </w:rPr>
                      <w:t xml:space="preserve"> </w:t>
                    </w:r>
                    <w:r>
                      <w:rPr>
                        <w:sz w:val="18"/>
                      </w:rPr>
                      <w:t>Abuse July 2024</w:t>
                    </w:r>
                  </w:p>
                  <w:p w14:paraId="64149F35" w14:textId="77777777" w:rsidR="00E80F03" w:rsidRDefault="00176EC7">
                    <w:pPr>
                      <w:spacing w:before="1"/>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E0DF6" w14:textId="77777777" w:rsidR="00176EC7" w:rsidRDefault="00176EC7">
      <w:r>
        <w:separator/>
      </w:r>
    </w:p>
  </w:footnote>
  <w:footnote w:type="continuationSeparator" w:id="0">
    <w:p w14:paraId="2237410A" w14:textId="77777777" w:rsidR="00176EC7" w:rsidRDefault="00176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454F"/>
    <w:multiLevelType w:val="hybridMultilevel"/>
    <w:tmpl w:val="50F05BE8"/>
    <w:lvl w:ilvl="0" w:tplc="5348591A">
      <w:numFmt w:val="bullet"/>
      <w:lvlText w:val=""/>
      <w:lvlJc w:val="left"/>
      <w:pPr>
        <w:ind w:left="836" w:hanging="360"/>
      </w:pPr>
      <w:rPr>
        <w:rFonts w:ascii="Symbol" w:eastAsia="Symbol" w:hAnsi="Symbol" w:cs="Symbol" w:hint="default"/>
        <w:b w:val="0"/>
        <w:bCs w:val="0"/>
        <w:i w:val="0"/>
        <w:iCs w:val="0"/>
        <w:spacing w:val="0"/>
        <w:w w:val="100"/>
        <w:sz w:val="24"/>
        <w:szCs w:val="24"/>
        <w:lang w:val="en-US" w:eastAsia="en-US" w:bidi="ar-SA"/>
      </w:rPr>
    </w:lvl>
    <w:lvl w:ilvl="1" w:tplc="D46A7426">
      <w:numFmt w:val="bullet"/>
      <w:lvlText w:val="•"/>
      <w:lvlJc w:val="left"/>
      <w:pPr>
        <w:ind w:left="1746" w:hanging="360"/>
      </w:pPr>
      <w:rPr>
        <w:rFonts w:hint="default"/>
        <w:lang w:val="en-US" w:eastAsia="en-US" w:bidi="ar-SA"/>
      </w:rPr>
    </w:lvl>
    <w:lvl w:ilvl="2" w:tplc="5846D14C">
      <w:numFmt w:val="bullet"/>
      <w:lvlText w:val="•"/>
      <w:lvlJc w:val="left"/>
      <w:pPr>
        <w:ind w:left="2652" w:hanging="360"/>
      </w:pPr>
      <w:rPr>
        <w:rFonts w:hint="default"/>
        <w:lang w:val="en-US" w:eastAsia="en-US" w:bidi="ar-SA"/>
      </w:rPr>
    </w:lvl>
    <w:lvl w:ilvl="3" w:tplc="05FCEA5C">
      <w:numFmt w:val="bullet"/>
      <w:lvlText w:val="•"/>
      <w:lvlJc w:val="left"/>
      <w:pPr>
        <w:ind w:left="3558" w:hanging="360"/>
      </w:pPr>
      <w:rPr>
        <w:rFonts w:hint="default"/>
        <w:lang w:val="en-US" w:eastAsia="en-US" w:bidi="ar-SA"/>
      </w:rPr>
    </w:lvl>
    <w:lvl w:ilvl="4" w:tplc="4B2674E4">
      <w:numFmt w:val="bullet"/>
      <w:lvlText w:val="•"/>
      <w:lvlJc w:val="left"/>
      <w:pPr>
        <w:ind w:left="4464" w:hanging="360"/>
      </w:pPr>
      <w:rPr>
        <w:rFonts w:hint="default"/>
        <w:lang w:val="en-US" w:eastAsia="en-US" w:bidi="ar-SA"/>
      </w:rPr>
    </w:lvl>
    <w:lvl w:ilvl="5" w:tplc="DE9206DE">
      <w:numFmt w:val="bullet"/>
      <w:lvlText w:val="•"/>
      <w:lvlJc w:val="left"/>
      <w:pPr>
        <w:ind w:left="5370" w:hanging="360"/>
      </w:pPr>
      <w:rPr>
        <w:rFonts w:hint="default"/>
        <w:lang w:val="en-US" w:eastAsia="en-US" w:bidi="ar-SA"/>
      </w:rPr>
    </w:lvl>
    <w:lvl w:ilvl="6" w:tplc="E2FA1A32">
      <w:numFmt w:val="bullet"/>
      <w:lvlText w:val="•"/>
      <w:lvlJc w:val="left"/>
      <w:pPr>
        <w:ind w:left="6276" w:hanging="360"/>
      </w:pPr>
      <w:rPr>
        <w:rFonts w:hint="default"/>
        <w:lang w:val="en-US" w:eastAsia="en-US" w:bidi="ar-SA"/>
      </w:rPr>
    </w:lvl>
    <w:lvl w:ilvl="7" w:tplc="44AE30B8">
      <w:numFmt w:val="bullet"/>
      <w:lvlText w:val="•"/>
      <w:lvlJc w:val="left"/>
      <w:pPr>
        <w:ind w:left="7182" w:hanging="360"/>
      </w:pPr>
      <w:rPr>
        <w:rFonts w:hint="default"/>
        <w:lang w:val="en-US" w:eastAsia="en-US" w:bidi="ar-SA"/>
      </w:rPr>
    </w:lvl>
    <w:lvl w:ilvl="8" w:tplc="91AC0516">
      <w:numFmt w:val="bullet"/>
      <w:lvlText w:val="•"/>
      <w:lvlJc w:val="left"/>
      <w:pPr>
        <w:ind w:left="8088" w:hanging="360"/>
      </w:pPr>
      <w:rPr>
        <w:rFonts w:hint="default"/>
        <w:lang w:val="en-US" w:eastAsia="en-US" w:bidi="ar-SA"/>
      </w:rPr>
    </w:lvl>
  </w:abstractNum>
  <w:num w:numId="1" w16cid:durableId="195050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0F03"/>
    <w:rsid w:val="000043AC"/>
    <w:rsid w:val="00176EC7"/>
    <w:rsid w:val="00421C83"/>
    <w:rsid w:val="0055139B"/>
    <w:rsid w:val="00E8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9EE9"/>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83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139B"/>
    <w:pPr>
      <w:tabs>
        <w:tab w:val="center" w:pos="4680"/>
        <w:tab w:val="right" w:pos="9360"/>
      </w:tabs>
    </w:pPr>
  </w:style>
  <w:style w:type="character" w:customStyle="1" w:styleId="HeaderChar">
    <w:name w:val="Header Char"/>
    <w:basedOn w:val="DefaultParagraphFont"/>
    <w:link w:val="Header"/>
    <w:uiPriority w:val="99"/>
    <w:rsid w:val="0055139B"/>
    <w:rPr>
      <w:rFonts w:ascii="Times New Roman" w:eastAsia="Times New Roman" w:hAnsi="Times New Roman" w:cs="Times New Roman"/>
    </w:rPr>
  </w:style>
  <w:style w:type="paragraph" w:styleId="Footer">
    <w:name w:val="footer"/>
    <w:basedOn w:val="Normal"/>
    <w:link w:val="FooterChar"/>
    <w:uiPriority w:val="99"/>
    <w:unhideWhenUsed/>
    <w:rsid w:val="0055139B"/>
    <w:pPr>
      <w:tabs>
        <w:tab w:val="center" w:pos="4680"/>
        <w:tab w:val="right" w:pos="9360"/>
      </w:tabs>
    </w:pPr>
  </w:style>
  <w:style w:type="character" w:customStyle="1" w:styleId="FooterChar">
    <w:name w:val="Footer Char"/>
    <w:basedOn w:val="DefaultParagraphFont"/>
    <w:link w:val="Footer"/>
    <w:uiPriority w:val="99"/>
    <w:rsid w:val="0055139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owinn.nv.gov/wp-content/uploads/2023/07/SCP-4.7-Revised-7.16.2019.pdf" TargetMode="External"/><Relationship Id="rId13" Type="http://schemas.openxmlformats.org/officeDocument/2006/relationships/hyperlink" Target="https://www.dol.gov/agencies/eta/advisories/tegl-15-23"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dol.gov/owcp/owcpkeyp.htm" TargetMode="External"/><Relationship Id="rId7" Type="http://schemas.openxmlformats.org/officeDocument/2006/relationships/footer" Target="footer1.xml"/><Relationship Id="rId12" Type="http://schemas.openxmlformats.org/officeDocument/2006/relationships/hyperlink" Target="https://www.dol.gov/sites/dolgov/files/ETA/advisories/TEGL/2012/TEGL_2_12_att_c.pdf" TargetMode="External"/><Relationship Id="rId17" Type="http://schemas.openxmlformats.org/officeDocument/2006/relationships/hyperlink" Target="https://www.oig.dol.gov/hotlineform.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ig.dol.gov/" TargetMode="External"/><Relationship Id="rId20" Type="http://schemas.openxmlformats.org/officeDocument/2006/relationships/hyperlink" Target="http://www.askebsa.dol.gov/WebIntake/Home.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l.gov/agencies/eta/advisories/tegl-15-23" TargetMode="External"/><Relationship Id="rId24" Type="http://schemas.openxmlformats.org/officeDocument/2006/relationships/hyperlink" Target="https://www.ignet.gov/content/inspectors-general-directory" TargetMode="External"/><Relationship Id="rId5" Type="http://schemas.openxmlformats.org/officeDocument/2006/relationships/footnotes" Target="footnotes.xml"/><Relationship Id="rId15" Type="http://schemas.openxmlformats.org/officeDocument/2006/relationships/hyperlink" Target="mailto:hotline@oig.dol.gov" TargetMode="External"/><Relationship Id="rId23" Type="http://schemas.openxmlformats.org/officeDocument/2006/relationships/hyperlink" Target="http://www.osha.gov/whistleblower/WBComplaint.html" TargetMode="External"/><Relationship Id="rId10" Type="http://schemas.openxmlformats.org/officeDocument/2006/relationships/hyperlink" Target="https://gowinn.nv.gov/wp-content/uploads/2023/07/SCP-4.7-Revised-7.16.2019.pdf" TargetMode="External"/><Relationship Id="rId19" Type="http://schemas.openxmlformats.org/officeDocument/2006/relationships/hyperlink" Target="http://webapps.dol.gov/contactwhd/default.aspx" TargetMode="External"/><Relationship Id="rId4" Type="http://schemas.openxmlformats.org/officeDocument/2006/relationships/webSettings" Target="webSettings.xml"/><Relationship Id="rId9" Type="http://schemas.openxmlformats.org/officeDocument/2006/relationships/hyperlink" Target="https://www.dol.gov/agencies/eta/advisories/tegl-15-23" TargetMode="External"/><Relationship Id="rId14" Type="http://schemas.openxmlformats.org/officeDocument/2006/relationships/hyperlink" Target="file://detr.nv/shares/dept/wiss/AAI/Sam/%20https/www.oig.dol.gov/hotline.htm" TargetMode="External"/><Relationship Id="rId22" Type="http://schemas.openxmlformats.org/officeDocument/2006/relationships/hyperlink" Target="https://www.osha.gov/pls/osha7/eComplaintFo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1273</Words>
  <Characters>7262</Characters>
  <Application>Microsoft Office Word</Application>
  <DocSecurity>0</DocSecurity>
  <Lines>60</Lines>
  <Paragraphs>17</Paragraphs>
  <ScaleCrop>false</ScaleCrop>
  <Company>State of Nevada</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3</cp:revision>
  <dcterms:created xsi:type="dcterms:W3CDTF">2026-08-27T21:13:00Z</dcterms:created>
  <dcterms:modified xsi:type="dcterms:W3CDTF">2026-08-28T21:36:00Z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20.5.172</vt:lpwstr>
  </property>
  <property fmtid="{D5CDD505-2E9C-101B-9397-08002B2CF9AE}" pid="6" name="SourceModified">
    <vt:lpwstr>D:20240715201707</vt:lpwstr>
  </property>
</Properties>
</file>