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D193C" w14:textId="77777777" w:rsidR="005D122E" w:rsidRDefault="00F90A83">
      <w:pPr>
        <w:spacing w:before="76"/>
        <w:ind w:left="290" w:right="291"/>
        <w:jc w:val="center"/>
        <w:rPr>
          <w:b/>
          <w:sz w:val="28"/>
        </w:rPr>
      </w:pPr>
      <w:r>
        <w:rPr>
          <w:b/>
          <w:sz w:val="28"/>
        </w:rPr>
        <w:t>Nevada</w:t>
      </w:r>
      <w:r>
        <w:rPr>
          <w:b/>
          <w:spacing w:val="-6"/>
          <w:sz w:val="28"/>
        </w:rPr>
        <w:t xml:space="preserve"> </w:t>
      </w:r>
      <w:r>
        <w:rPr>
          <w:b/>
          <w:sz w:val="28"/>
        </w:rPr>
        <w:t>Department</w:t>
      </w:r>
      <w:r>
        <w:rPr>
          <w:b/>
          <w:spacing w:val="-7"/>
          <w:sz w:val="28"/>
        </w:rPr>
        <w:t xml:space="preserve"> </w:t>
      </w:r>
      <w:r>
        <w:rPr>
          <w:b/>
          <w:sz w:val="28"/>
        </w:rPr>
        <w:t>of</w:t>
      </w:r>
      <w:r>
        <w:rPr>
          <w:b/>
          <w:spacing w:val="-5"/>
          <w:sz w:val="28"/>
        </w:rPr>
        <w:t xml:space="preserve"> </w:t>
      </w:r>
      <w:r>
        <w:rPr>
          <w:b/>
          <w:sz w:val="28"/>
        </w:rPr>
        <w:t>Employment,</w:t>
      </w:r>
      <w:r>
        <w:rPr>
          <w:b/>
          <w:spacing w:val="-5"/>
          <w:sz w:val="28"/>
        </w:rPr>
        <w:t xml:space="preserve"> </w:t>
      </w:r>
      <w:r>
        <w:rPr>
          <w:b/>
          <w:sz w:val="28"/>
        </w:rPr>
        <w:t>Training</w:t>
      </w:r>
      <w:r>
        <w:rPr>
          <w:b/>
          <w:spacing w:val="-5"/>
          <w:sz w:val="28"/>
        </w:rPr>
        <w:t xml:space="preserve"> </w:t>
      </w:r>
      <w:r>
        <w:rPr>
          <w:b/>
          <w:sz w:val="28"/>
        </w:rPr>
        <w:t>and</w:t>
      </w:r>
      <w:r>
        <w:rPr>
          <w:b/>
          <w:spacing w:val="-7"/>
          <w:sz w:val="28"/>
        </w:rPr>
        <w:t xml:space="preserve"> </w:t>
      </w:r>
      <w:r>
        <w:rPr>
          <w:b/>
          <w:sz w:val="28"/>
        </w:rPr>
        <w:t>Rehabilitation Employment Security Division</w:t>
      </w:r>
    </w:p>
    <w:p w14:paraId="681D193D" w14:textId="72537E6D" w:rsidR="005D122E" w:rsidRDefault="00F90A83">
      <w:pPr>
        <w:spacing w:line="321" w:lineRule="exact"/>
        <w:ind w:left="290" w:right="291"/>
        <w:jc w:val="center"/>
        <w:rPr>
          <w:b/>
          <w:sz w:val="28"/>
        </w:rPr>
      </w:pPr>
      <w:r>
        <w:rPr>
          <w:b/>
          <w:sz w:val="28"/>
        </w:rPr>
        <w:t>Workforce</w:t>
      </w:r>
      <w:r>
        <w:rPr>
          <w:b/>
          <w:spacing w:val="-7"/>
          <w:sz w:val="28"/>
        </w:rPr>
        <w:t xml:space="preserve"> </w:t>
      </w:r>
      <w:r w:rsidR="00A53508">
        <w:rPr>
          <w:b/>
          <w:sz w:val="28"/>
        </w:rPr>
        <w:t>Programs</w:t>
      </w:r>
    </w:p>
    <w:p w14:paraId="681D193E" w14:textId="77777777" w:rsidR="005D122E" w:rsidRDefault="005D122E">
      <w:pPr>
        <w:pStyle w:val="BodyText"/>
        <w:spacing w:before="1"/>
        <w:rPr>
          <w:b/>
          <w:sz w:val="28"/>
        </w:rPr>
      </w:pPr>
    </w:p>
    <w:p w14:paraId="681D193F" w14:textId="77777777" w:rsidR="005D122E" w:rsidRDefault="00F90A83">
      <w:pPr>
        <w:spacing w:before="1"/>
        <w:ind w:left="1507" w:right="1503"/>
        <w:jc w:val="center"/>
        <w:rPr>
          <w:b/>
          <w:sz w:val="28"/>
        </w:rPr>
      </w:pPr>
      <w:r>
        <w:rPr>
          <w:b/>
          <w:sz w:val="28"/>
        </w:rPr>
        <w:t>Workforce</w:t>
      </w:r>
      <w:r>
        <w:rPr>
          <w:b/>
          <w:spacing w:val="-7"/>
          <w:sz w:val="28"/>
        </w:rPr>
        <w:t xml:space="preserve"> </w:t>
      </w:r>
      <w:r>
        <w:rPr>
          <w:b/>
          <w:sz w:val="28"/>
        </w:rPr>
        <w:t>Innovation</w:t>
      </w:r>
      <w:r>
        <w:rPr>
          <w:b/>
          <w:spacing w:val="-7"/>
          <w:sz w:val="28"/>
        </w:rPr>
        <w:t xml:space="preserve"> </w:t>
      </w:r>
      <w:r>
        <w:rPr>
          <w:b/>
          <w:sz w:val="28"/>
        </w:rPr>
        <w:t>and</w:t>
      </w:r>
      <w:r>
        <w:rPr>
          <w:b/>
          <w:spacing w:val="-8"/>
          <w:sz w:val="28"/>
        </w:rPr>
        <w:t xml:space="preserve"> </w:t>
      </w:r>
      <w:r>
        <w:rPr>
          <w:b/>
          <w:sz w:val="28"/>
        </w:rPr>
        <w:t>Opportunity</w:t>
      </w:r>
      <w:r>
        <w:rPr>
          <w:b/>
          <w:spacing w:val="-8"/>
          <w:sz w:val="28"/>
        </w:rPr>
        <w:t xml:space="preserve"> </w:t>
      </w:r>
      <w:r>
        <w:rPr>
          <w:b/>
          <w:sz w:val="28"/>
        </w:rPr>
        <w:t>Act</w:t>
      </w:r>
      <w:r>
        <w:rPr>
          <w:b/>
          <w:spacing w:val="-7"/>
          <w:sz w:val="28"/>
        </w:rPr>
        <w:t xml:space="preserve"> </w:t>
      </w:r>
      <w:r>
        <w:rPr>
          <w:b/>
          <w:sz w:val="28"/>
        </w:rPr>
        <w:t>(WIOA) State Compliance Policy (SCP)</w:t>
      </w:r>
    </w:p>
    <w:p w14:paraId="681D1940" w14:textId="77777777" w:rsidR="005D122E" w:rsidRDefault="005D122E">
      <w:pPr>
        <w:pStyle w:val="BodyText"/>
        <w:spacing w:before="192"/>
        <w:rPr>
          <w:b/>
          <w:sz w:val="28"/>
        </w:rPr>
      </w:pPr>
    </w:p>
    <w:p w14:paraId="681D1941" w14:textId="77777777" w:rsidR="005D122E" w:rsidRDefault="00F90A83">
      <w:pPr>
        <w:pStyle w:val="Heading1"/>
        <w:rPr>
          <w:u w:val="none"/>
        </w:rPr>
      </w:pPr>
      <w:r>
        <w:rPr>
          <w:u w:val="none"/>
        </w:rPr>
        <w:t>Policy</w:t>
      </w:r>
      <w:r>
        <w:rPr>
          <w:spacing w:val="-2"/>
          <w:u w:val="none"/>
        </w:rPr>
        <w:t xml:space="preserve"> </w:t>
      </w:r>
      <w:r>
        <w:rPr>
          <w:u w:val="none"/>
        </w:rPr>
        <w:t>Number:</w:t>
      </w:r>
      <w:r>
        <w:rPr>
          <w:spacing w:val="57"/>
          <w:u w:val="none"/>
        </w:rPr>
        <w:t xml:space="preserve"> </w:t>
      </w:r>
      <w:r>
        <w:rPr>
          <w:spacing w:val="-5"/>
          <w:u w:val="none"/>
        </w:rPr>
        <w:t>3.8</w:t>
      </w:r>
    </w:p>
    <w:p w14:paraId="681D1942" w14:textId="77777777" w:rsidR="005D122E" w:rsidRDefault="005D122E">
      <w:pPr>
        <w:pStyle w:val="BodyText"/>
        <w:rPr>
          <w:b/>
        </w:rPr>
      </w:pPr>
    </w:p>
    <w:p w14:paraId="681D1943" w14:textId="5A336C30" w:rsidR="005D122E" w:rsidRDefault="00F90A83">
      <w:pPr>
        <w:pStyle w:val="BodyText"/>
        <w:ind w:left="115"/>
      </w:pPr>
      <w:r>
        <w:rPr>
          <w:b/>
          <w:u w:val="single"/>
        </w:rPr>
        <w:t>Originating</w:t>
      </w:r>
      <w:r>
        <w:rPr>
          <w:b/>
          <w:spacing w:val="-5"/>
          <w:u w:val="single"/>
        </w:rPr>
        <w:t xml:space="preserve"> </w:t>
      </w:r>
      <w:r>
        <w:rPr>
          <w:b/>
          <w:u w:val="single"/>
        </w:rPr>
        <w:t>Office</w:t>
      </w:r>
      <w:r>
        <w:rPr>
          <w:b/>
        </w:rPr>
        <w:t>:</w:t>
      </w:r>
      <w:r>
        <w:rPr>
          <w:b/>
          <w:spacing w:val="-5"/>
        </w:rPr>
        <w:t xml:space="preserve"> </w:t>
      </w:r>
      <w:r>
        <w:t>Department</w:t>
      </w:r>
      <w:r>
        <w:rPr>
          <w:spacing w:val="-5"/>
        </w:rPr>
        <w:t xml:space="preserve"> </w:t>
      </w:r>
      <w:r>
        <w:t>of</w:t>
      </w:r>
      <w:r>
        <w:rPr>
          <w:spacing w:val="-5"/>
        </w:rPr>
        <w:t xml:space="preserve"> </w:t>
      </w:r>
      <w:r>
        <w:t>Employment,</w:t>
      </w:r>
      <w:r>
        <w:rPr>
          <w:spacing w:val="-5"/>
        </w:rPr>
        <w:t xml:space="preserve"> </w:t>
      </w:r>
      <w:r>
        <w:t>Training</w:t>
      </w:r>
      <w:r>
        <w:rPr>
          <w:spacing w:val="-5"/>
        </w:rPr>
        <w:t xml:space="preserve"> </w:t>
      </w:r>
      <w:r>
        <w:t>and</w:t>
      </w:r>
      <w:r>
        <w:rPr>
          <w:spacing w:val="-5"/>
        </w:rPr>
        <w:t xml:space="preserve"> </w:t>
      </w:r>
      <w:r>
        <w:t>Rehabilitation</w:t>
      </w:r>
      <w:r>
        <w:rPr>
          <w:spacing w:val="-5"/>
        </w:rPr>
        <w:t xml:space="preserve"> </w:t>
      </w:r>
      <w:r>
        <w:t>(DETR);</w:t>
      </w:r>
      <w:r>
        <w:rPr>
          <w:spacing w:val="-5"/>
        </w:rPr>
        <w:t xml:space="preserve"> </w:t>
      </w:r>
      <w:r>
        <w:t xml:space="preserve">Workforce </w:t>
      </w:r>
      <w:r w:rsidR="00A53508">
        <w:t>Programs</w:t>
      </w:r>
    </w:p>
    <w:p w14:paraId="681D1944" w14:textId="77777777" w:rsidR="005D122E" w:rsidRDefault="005D122E">
      <w:pPr>
        <w:pStyle w:val="BodyText"/>
      </w:pPr>
    </w:p>
    <w:p w14:paraId="681D1945" w14:textId="77777777" w:rsidR="005D122E" w:rsidRDefault="00F90A83">
      <w:pPr>
        <w:ind w:left="115"/>
        <w:rPr>
          <w:sz w:val="24"/>
        </w:rPr>
      </w:pPr>
      <w:r>
        <w:rPr>
          <w:b/>
          <w:sz w:val="24"/>
          <w:u w:val="single"/>
        </w:rPr>
        <w:t>Subject</w:t>
      </w:r>
      <w:r>
        <w:rPr>
          <w:b/>
          <w:sz w:val="24"/>
        </w:rPr>
        <w:t>:</w:t>
      </w:r>
      <w:r>
        <w:rPr>
          <w:b/>
          <w:spacing w:val="54"/>
          <w:sz w:val="24"/>
        </w:rPr>
        <w:t xml:space="preserve"> </w:t>
      </w:r>
      <w:r>
        <w:rPr>
          <w:sz w:val="24"/>
        </w:rPr>
        <w:t>Transfer</w:t>
      </w:r>
      <w:r>
        <w:rPr>
          <w:spacing w:val="-3"/>
          <w:sz w:val="24"/>
        </w:rPr>
        <w:t xml:space="preserve"> </w:t>
      </w:r>
      <w:r>
        <w:rPr>
          <w:sz w:val="24"/>
        </w:rPr>
        <w:t>of</w:t>
      </w:r>
      <w:r>
        <w:rPr>
          <w:spacing w:val="-2"/>
          <w:sz w:val="24"/>
        </w:rPr>
        <w:t xml:space="preserve"> </w:t>
      </w:r>
      <w:r>
        <w:rPr>
          <w:sz w:val="24"/>
        </w:rPr>
        <w:t>Funds</w:t>
      </w:r>
      <w:r>
        <w:rPr>
          <w:spacing w:val="-2"/>
          <w:sz w:val="24"/>
        </w:rPr>
        <w:t xml:space="preserve"> </w:t>
      </w:r>
      <w:r>
        <w:rPr>
          <w:sz w:val="24"/>
        </w:rPr>
        <w:t>Between</w:t>
      </w:r>
      <w:r>
        <w:rPr>
          <w:spacing w:val="-2"/>
          <w:sz w:val="24"/>
        </w:rPr>
        <w:t xml:space="preserve"> Programs</w:t>
      </w:r>
    </w:p>
    <w:p w14:paraId="681D1946" w14:textId="77777777" w:rsidR="005D122E" w:rsidRDefault="005D122E">
      <w:pPr>
        <w:pStyle w:val="BodyText"/>
      </w:pPr>
    </w:p>
    <w:p w14:paraId="681D1947" w14:textId="77777777" w:rsidR="005D122E" w:rsidRDefault="00F90A83">
      <w:pPr>
        <w:pStyle w:val="BodyText"/>
        <w:ind w:left="115" w:right="79"/>
      </w:pPr>
      <w:r>
        <w:rPr>
          <w:b/>
          <w:u w:val="single"/>
        </w:rPr>
        <w:t>Approved</w:t>
      </w:r>
      <w:r>
        <w:rPr>
          <w:b/>
        </w:rPr>
        <w:t>:</w:t>
      </w:r>
      <w:r>
        <w:rPr>
          <w:b/>
          <w:spacing w:val="40"/>
        </w:rPr>
        <w:t xml:space="preserve"> </w:t>
      </w:r>
      <w:r>
        <w:t>NEW;</w:t>
      </w:r>
      <w:r>
        <w:rPr>
          <w:spacing w:val="-4"/>
        </w:rPr>
        <w:t xml:space="preserve"> </w:t>
      </w:r>
      <w:r>
        <w:t>replacing</w:t>
      </w:r>
      <w:r>
        <w:rPr>
          <w:spacing w:val="-4"/>
        </w:rPr>
        <w:t xml:space="preserve"> </w:t>
      </w:r>
      <w:r>
        <w:t>2005</w:t>
      </w:r>
      <w:r>
        <w:rPr>
          <w:spacing w:val="-4"/>
        </w:rPr>
        <w:t xml:space="preserve"> </w:t>
      </w:r>
      <w:r>
        <w:t>Workforce</w:t>
      </w:r>
      <w:r>
        <w:rPr>
          <w:spacing w:val="-3"/>
        </w:rPr>
        <w:t xml:space="preserve"> </w:t>
      </w:r>
      <w:r>
        <w:t>Investment</w:t>
      </w:r>
      <w:r>
        <w:rPr>
          <w:spacing w:val="-4"/>
        </w:rPr>
        <w:t xml:space="preserve"> </w:t>
      </w:r>
      <w:r>
        <w:t>Act</w:t>
      </w:r>
      <w:r>
        <w:rPr>
          <w:spacing w:val="-4"/>
        </w:rPr>
        <w:t xml:space="preserve"> </w:t>
      </w:r>
      <w:r>
        <w:t>(WIA);</w:t>
      </w:r>
      <w:r>
        <w:rPr>
          <w:spacing w:val="-4"/>
        </w:rPr>
        <w:t xml:space="preserve"> </w:t>
      </w:r>
      <w:r>
        <w:t>Ratified</w:t>
      </w:r>
      <w:r>
        <w:rPr>
          <w:spacing w:val="-4"/>
        </w:rPr>
        <w:t xml:space="preserve"> </w:t>
      </w:r>
      <w:r>
        <w:t>Governor’s Workforce Development Board (GWDB) Executive Committee, December 11, 2024</w:t>
      </w:r>
    </w:p>
    <w:p w14:paraId="681D1948" w14:textId="77777777" w:rsidR="005D122E" w:rsidRDefault="005D122E">
      <w:pPr>
        <w:pStyle w:val="BodyText"/>
      </w:pPr>
    </w:p>
    <w:p w14:paraId="681D1949" w14:textId="77777777" w:rsidR="005D122E" w:rsidRDefault="00F90A83">
      <w:pPr>
        <w:pStyle w:val="BodyText"/>
        <w:ind w:left="115" w:right="112"/>
        <w:jc w:val="both"/>
      </w:pPr>
      <w:r>
        <w:rPr>
          <w:b/>
          <w:u w:val="single"/>
        </w:rPr>
        <w:t>Purpose</w:t>
      </w:r>
      <w:r>
        <w:rPr>
          <w:b/>
        </w:rPr>
        <w:t xml:space="preserve">: </w:t>
      </w:r>
      <w:r>
        <w:t xml:space="preserve">The purpose of this policy is to provide Local Workforce Development Boards (LWDBs) with the requirements to transfer funds between the WIOA Adult and Dislocated Worker (DW) </w:t>
      </w:r>
      <w:r>
        <w:rPr>
          <w:spacing w:val="-2"/>
        </w:rPr>
        <w:t>programs.</w:t>
      </w:r>
    </w:p>
    <w:p w14:paraId="681D194A" w14:textId="77777777" w:rsidR="005D122E" w:rsidRDefault="005D122E">
      <w:pPr>
        <w:pStyle w:val="BodyText"/>
      </w:pPr>
    </w:p>
    <w:p w14:paraId="681D194B" w14:textId="77777777" w:rsidR="005D122E" w:rsidRDefault="00F90A83">
      <w:pPr>
        <w:ind w:left="115" w:right="132"/>
        <w:jc w:val="both"/>
        <w:rPr>
          <w:sz w:val="24"/>
        </w:rPr>
      </w:pPr>
      <w:r>
        <w:rPr>
          <w:b/>
          <w:sz w:val="24"/>
          <w:u w:val="single"/>
        </w:rPr>
        <w:t>State</w:t>
      </w:r>
      <w:r>
        <w:rPr>
          <w:b/>
          <w:spacing w:val="-9"/>
          <w:sz w:val="24"/>
          <w:u w:val="single"/>
        </w:rPr>
        <w:t xml:space="preserve"> </w:t>
      </w:r>
      <w:r>
        <w:rPr>
          <w:b/>
          <w:sz w:val="24"/>
          <w:u w:val="single"/>
        </w:rPr>
        <w:t>Imposed</w:t>
      </w:r>
      <w:r>
        <w:rPr>
          <w:b/>
          <w:spacing w:val="-8"/>
          <w:sz w:val="24"/>
          <w:u w:val="single"/>
        </w:rPr>
        <w:t xml:space="preserve"> </w:t>
      </w:r>
      <w:r>
        <w:rPr>
          <w:b/>
          <w:sz w:val="24"/>
          <w:u w:val="single"/>
        </w:rPr>
        <w:t>Requirements</w:t>
      </w:r>
      <w:r>
        <w:rPr>
          <w:b/>
          <w:sz w:val="24"/>
        </w:rPr>
        <w:t>:</w:t>
      </w:r>
      <w:r>
        <w:rPr>
          <w:b/>
          <w:spacing w:val="-9"/>
          <w:sz w:val="24"/>
        </w:rPr>
        <w:t xml:space="preserve"> </w:t>
      </w:r>
      <w:r>
        <w:rPr>
          <w:sz w:val="24"/>
        </w:rPr>
        <w:t>This</w:t>
      </w:r>
      <w:r>
        <w:rPr>
          <w:spacing w:val="-10"/>
          <w:sz w:val="24"/>
        </w:rPr>
        <w:t xml:space="preserve"> </w:t>
      </w:r>
      <w:r>
        <w:rPr>
          <w:sz w:val="24"/>
        </w:rPr>
        <w:t>directive</w:t>
      </w:r>
      <w:r>
        <w:rPr>
          <w:spacing w:val="-11"/>
          <w:sz w:val="24"/>
        </w:rPr>
        <w:t xml:space="preserve"> </w:t>
      </w:r>
      <w:r>
        <w:rPr>
          <w:sz w:val="24"/>
        </w:rPr>
        <w:t>may</w:t>
      </w:r>
      <w:r>
        <w:rPr>
          <w:spacing w:val="-8"/>
          <w:sz w:val="24"/>
        </w:rPr>
        <w:t xml:space="preserve"> </w:t>
      </w:r>
      <w:r>
        <w:rPr>
          <w:sz w:val="24"/>
        </w:rPr>
        <w:t>contain</w:t>
      </w:r>
      <w:r>
        <w:rPr>
          <w:spacing w:val="-10"/>
          <w:sz w:val="24"/>
        </w:rPr>
        <w:t xml:space="preserve"> </w:t>
      </w:r>
      <w:r>
        <w:rPr>
          <w:sz w:val="24"/>
        </w:rPr>
        <w:t>some</w:t>
      </w:r>
      <w:r>
        <w:rPr>
          <w:spacing w:val="-11"/>
          <w:sz w:val="24"/>
        </w:rPr>
        <w:t xml:space="preserve"> </w:t>
      </w:r>
      <w:r>
        <w:rPr>
          <w:sz w:val="24"/>
        </w:rPr>
        <w:t>state-imposed</w:t>
      </w:r>
      <w:r>
        <w:rPr>
          <w:spacing w:val="-10"/>
          <w:sz w:val="24"/>
        </w:rPr>
        <w:t xml:space="preserve"> </w:t>
      </w:r>
      <w:r>
        <w:rPr>
          <w:sz w:val="24"/>
        </w:rPr>
        <w:t>requirements.</w:t>
      </w:r>
      <w:r>
        <w:rPr>
          <w:spacing w:val="40"/>
          <w:sz w:val="24"/>
        </w:rPr>
        <w:t xml:space="preserve"> </w:t>
      </w:r>
      <w:r>
        <w:rPr>
          <w:sz w:val="24"/>
        </w:rPr>
        <w:t xml:space="preserve">These requirements are printed in </w:t>
      </w:r>
      <w:r>
        <w:rPr>
          <w:b/>
          <w:i/>
          <w:sz w:val="24"/>
        </w:rPr>
        <w:t xml:space="preserve">bold, italicized </w:t>
      </w:r>
      <w:r>
        <w:rPr>
          <w:sz w:val="24"/>
        </w:rPr>
        <w:t>type.</w:t>
      </w:r>
    </w:p>
    <w:p w14:paraId="681D194C" w14:textId="77777777" w:rsidR="005D122E" w:rsidRDefault="005D122E">
      <w:pPr>
        <w:pStyle w:val="BodyText"/>
      </w:pPr>
    </w:p>
    <w:p w14:paraId="681D194D" w14:textId="24BA0B82" w:rsidR="005D122E" w:rsidRDefault="00F90A83">
      <w:pPr>
        <w:pStyle w:val="BodyText"/>
        <w:spacing w:line="278" w:lineRule="auto"/>
        <w:ind w:left="115"/>
      </w:pPr>
      <w:r>
        <w:rPr>
          <w:b/>
          <w:u w:val="single"/>
        </w:rPr>
        <w:t>Authorities/References</w:t>
      </w:r>
      <w:r>
        <w:rPr>
          <w:b/>
        </w:rPr>
        <w:t>:</w:t>
      </w:r>
      <w:r>
        <w:rPr>
          <w:b/>
          <w:spacing w:val="-5"/>
        </w:rPr>
        <w:t xml:space="preserve"> </w:t>
      </w:r>
      <w:r>
        <w:t>Workforce</w:t>
      </w:r>
      <w:r>
        <w:rPr>
          <w:spacing w:val="-5"/>
        </w:rPr>
        <w:t xml:space="preserve"> </w:t>
      </w:r>
      <w:r>
        <w:t>Innovation</w:t>
      </w:r>
      <w:r>
        <w:rPr>
          <w:spacing w:val="-6"/>
        </w:rPr>
        <w:t xml:space="preserve"> </w:t>
      </w:r>
      <w:r>
        <w:t>and</w:t>
      </w:r>
      <w:r>
        <w:rPr>
          <w:spacing w:val="-6"/>
        </w:rPr>
        <w:t xml:space="preserve"> </w:t>
      </w:r>
      <w:r>
        <w:t>Opportunity</w:t>
      </w:r>
      <w:r>
        <w:rPr>
          <w:spacing w:val="-6"/>
        </w:rPr>
        <w:t xml:space="preserve"> </w:t>
      </w:r>
      <w:r>
        <w:t>Act</w:t>
      </w:r>
      <w:r>
        <w:rPr>
          <w:spacing w:val="-6"/>
        </w:rPr>
        <w:t xml:space="preserve"> </w:t>
      </w:r>
      <w:r>
        <w:t>(P.L.</w:t>
      </w:r>
      <w:r>
        <w:rPr>
          <w:spacing w:val="-6"/>
        </w:rPr>
        <w:t xml:space="preserve"> </w:t>
      </w:r>
      <w:r>
        <w:t>113-128);</w:t>
      </w:r>
      <w:r>
        <w:rPr>
          <w:spacing w:val="-6"/>
        </w:rPr>
        <w:t xml:space="preserve"> </w:t>
      </w:r>
      <w:r>
        <w:t>Sections 133(b)(4) and 134(c); 20 CFR § 683.130; TEGL 19-16; TEGL 15-22</w:t>
      </w:r>
      <w:r w:rsidR="00A53508">
        <w:t>; Nevada SCPs</w:t>
      </w:r>
    </w:p>
    <w:p w14:paraId="681D194E" w14:textId="77777777" w:rsidR="005D122E" w:rsidRDefault="005D122E">
      <w:pPr>
        <w:pStyle w:val="BodyText"/>
        <w:spacing w:before="37"/>
      </w:pPr>
    </w:p>
    <w:p w14:paraId="681D194F" w14:textId="77777777" w:rsidR="005D122E" w:rsidRDefault="00F90A83">
      <w:pPr>
        <w:pStyle w:val="BodyText"/>
        <w:ind w:left="115" w:right="113"/>
        <w:jc w:val="both"/>
      </w:pPr>
      <w:r>
        <w:rPr>
          <w:b/>
          <w:u w:val="single"/>
        </w:rPr>
        <w:t>ACTION REQUIRED</w:t>
      </w:r>
      <w:r>
        <w:rPr>
          <w:b/>
        </w:rPr>
        <w:t xml:space="preserve">: </w:t>
      </w:r>
      <w:r>
        <w:t>Upon issuance bring this guidance to the attention of all WIOA service providers, LWDB Board members and any other concerned parties.</w:t>
      </w:r>
      <w:r>
        <w:rPr>
          <w:spacing w:val="40"/>
        </w:rPr>
        <w:t xml:space="preserve"> </w:t>
      </w:r>
      <w:r>
        <w:t>Any LWDB’s policies, procedures, and or contracts affected by this guidance are required to be updated accordingly.</w:t>
      </w:r>
    </w:p>
    <w:p w14:paraId="681D1950" w14:textId="77777777" w:rsidR="005D122E" w:rsidRDefault="005D122E">
      <w:pPr>
        <w:pStyle w:val="BodyText"/>
      </w:pPr>
    </w:p>
    <w:p w14:paraId="681D1951" w14:textId="77777777" w:rsidR="005D122E" w:rsidRDefault="00F90A83">
      <w:pPr>
        <w:pStyle w:val="BodyText"/>
        <w:ind w:left="115" w:right="112"/>
        <w:jc w:val="both"/>
      </w:pPr>
      <w:r>
        <w:rPr>
          <w:b/>
          <w:u w:val="single"/>
        </w:rPr>
        <w:t>Background</w:t>
      </w:r>
      <w:r>
        <w:rPr>
          <w:b/>
        </w:rPr>
        <w:t>:</w:t>
      </w:r>
      <w:r>
        <w:rPr>
          <w:b/>
          <w:spacing w:val="40"/>
        </w:rPr>
        <w:t xml:space="preserve"> </w:t>
      </w:r>
      <w:r>
        <w:t>WIOA allows the transfer of funds between Title I Adult and DW Program funding streams, to allow LWDBs the flexibility to provide services in areas of greatest need. This policy contains the requirements for the transfer of funds between WIOA Title I programs and includes instructions on how to submit requests for transfers of the funds to the state.</w:t>
      </w:r>
      <w:r>
        <w:rPr>
          <w:spacing w:val="40"/>
        </w:rPr>
        <w:t xml:space="preserve"> </w:t>
      </w:r>
      <w:r>
        <w:t>The LWDBs may not transfer funds to or from the WIOA Youth program.</w:t>
      </w:r>
    </w:p>
    <w:p w14:paraId="681D1952" w14:textId="77777777" w:rsidR="005D122E" w:rsidRDefault="005D122E">
      <w:pPr>
        <w:pStyle w:val="BodyText"/>
      </w:pPr>
    </w:p>
    <w:p w14:paraId="681D1953" w14:textId="77777777" w:rsidR="005D122E" w:rsidRDefault="00F90A83">
      <w:pPr>
        <w:pStyle w:val="Heading1"/>
        <w:ind w:left="116"/>
        <w:jc w:val="both"/>
        <w:rPr>
          <w:u w:val="none"/>
        </w:rPr>
      </w:pPr>
      <w:r>
        <w:rPr>
          <w:u w:val="none"/>
        </w:rPr>
        <w:t>Policy</w:t>
      </w:r>
      <w:r>
        <w:rPr>
          <w:spacing w:val="-1"/>
          <w:u w:val="none"/>
        </w:rPr>
        <w:t xml:space="preserve"> </w:t>
      </w:r>
      <w:r>
        <w:rPr>
          <w:u w:val="none"/>
        </w:rPr>
        <w:t>and</w:t>
      </w:r>
      <w:r>
        <w:rPr>
          <w:spacing w:val="-1"/>
          <w:u w:val="none"/>
        </w:rPr>
        <w:t xml:space="preserve"> </w:t>
      </w:r>
      <w:r>
        <w:rPr>
          <w:spacing w:val="-2"/>
          <w:u w:val="none"/>
        </w:rPr>
        <w:t>Procedure:</w:t>
      </w:r>
    </w:p>
    <w:p w14:paraId="681D1954" w14:textId="77777777" w:rsidR="005D122E" w:rsidRDefault="005D122E">
      <w:pPr>
        <w:pStyle w:val="BodyText"/>
        <w:rPr>
          <w:b/>
        </w:rPr>
      </w:pPr>
    </w:p>
    <w:p w14:paraId="681D1955" w14:textId="5258310F" w:rsidR="005D122E" w:rsidRDefault="00F90A83">
      <w:pPr>
        <w:pStyle w:val="BodyText"/>
        <w:ind w:left="115" w:right="111"/>
        <w:jc w:val="both"/>
      </w:pPr>
      <w:r>
        <w:t>As</w:t>
      </w:r>
      <w:r>
        <w:rPr>
          <w:spacing w:val="-8"/>
        </w:rPr>
        <w:t xml:space="preserve"> </w:t>
      </w:r>
      <w:r>
        <w:t>stated</w:t>
      </w:r>
      <w:r>
        <w:rPr>
          <w:spacing w:val="-8"/>
        </w:rPr>
        <w:t xml:space="preserve"> </w:t>
      </w:r>
      <w:r>
        <w:t>in</w:t>
      </w:r>
      <w:r>
        <w:rPr>
          <w:spacing w:val="-8"/>
        </w:rPr>
        <w:t xml:space="preserve"> </w:t>
      </w:r>
      <w:hyperlink r:id="rId6">
        <w:r>
          <w:rPr>
            <w:color w:val="0000FF"/>
            <w:u w:val="single" w:color="0000FF"/>
          </w:rPr>
          <w:t>TEGL</w:t>
        </w:r>
        <w:r>
          <w:rPr>
            <w:color w:val="0000FF"/>
            <w:spacing w:val="-6"/>
            <w:u w:val="single" w:color="0000FF"/>
          </w:rPr>
          <w:t xml:space="preserve"> </w:t>
        </w:r>
        <w:r>
          <w:rPr>
            <w:color w:val="0000FF"/>
            <w:u w:val="single" w:color="0000FF"/>
          </w:rPr>
          <w:t>19-16</w:t>
        </w:r>
      </w:hyperlink>
      <w:r>
        <w:rPr>
          <w:color w:val="0000FF"/>
          <w:spacing w:val="-6"/>
        </w:rPr>
        <w:t xml:space="preserve"> </w:t>
      </w:r>
      <w:r>
        <w:t>and</w:t>
      </w:r>
      <w:r>
        <w:rPr>
          <w:spacing w:val="-8"/>
        </w:rPr>
        <w:t xml:space="preserve"> </w:t>
      </w:r>
      <w:hyperlink r:id="rId7">
        <w:r>
          <w:rPr>
            <w:color w:val="0000FF"/>
            <w:u w:val="single" w:color="0000FF"/>
          </w:rPr>
          <w:t>TEGL</w:t>
        </w:r>
        <w:r>
          <w:rPr>
            <w:color w:val="0000FF"/>
            <w:spacing w:val="-6"/>
            <w:u w:val="single" w:color="0000FF"/>
          </w:rPr>
          <w:t xml:space="preserve"> </w:t>
        </w:r>
        <w:r>
          <w:rPr>
            <w:color w:val="0000FF"/>
            <w:u w:val="single" w:color="0000FF"/>
          </w:rPr>
          <w:t>15-22</w:t>
        </w:r>
      </w:hyperlink>
      <w:r>
        <w:rPr>
          <w:color w:val="0000FF"/>
          <w:spacing w:val="-6"/>
        </w:rPr>
        <w:t xml:space="preserve"> </w:t>
      </w:r>
      <w:r>
        <w:t>WIOA</w:t>
      </w:r>
      <w:r>
        <w:rPr>
          <w:spacing w:val="-4"/>
        </w:rPr>
        <w:t xml:space="preserve"> </w:t>
      </w:r>
      <w:r>
        <w:t>Sec.</w:t>
      </w:r>
      <w:r>
        <w:rPr>
          <w:spacing w:val="-8"/>
        </w:rPr>
        <w:t xml:space="preserve"> </w:t>
      </w:r>
      <w:r>
        <w:t>133(b)(4)</w:t>
      </w:r>
      <w:r>
        <w:rPr>
          <w:spacing w:val="-9"/>
        </w:rPr>
        <w:t xml:space="preserve"> </w:t>
      </w:r>
      <w:r>
        <w:t>provides</w:t>
      </w:r>
      <w:r>
        <w:rPr>
          <w:spacing w:val="-8"/>
        </w:rPr>
        <w:t xml:space="preserve"> </w:t>
      </w:r>
      <w:r>
        <w:t>the</w:t>
      </w:r>
      <w:r>
        <w:rPr>
          <w:spacing w:val="-9"/>
        </w:rPr>
        <w:t xml:space="preserve"> </w:t>
      </w:r>
      <w:r>
        <w:t>authority</w:t>
      </w:r>
      <w:r>
        <w:rPr>
          <w:spacing w:val="-8"/>
        </w:rPr>
        <w:t xml:space="preserve"> </w:t>
      </w:r>
      <w:r>
        <w:t>for</w:t>
      </w:r>
      <w:r>
        <w:rPr>
          <w:spacing w:val="-9"/>
        </w:rPr>
        <w:t xml:space="preserve"> </w:t>
      </w:r>
      <w:r>
        <w:t>LWDBs, with the written approval of the Governor, to expend up to 100 percent of the adult activities’ funds on dislocated worker activities, and up to 100 percent of dislocated worker activities funds on adult activities.</w:t>
      </w:r>
      <w:r>
        <w:rPr>
          <w:spacing w:val="40"/>
        </w:rPr>
        <w:t xml:space="preserve"> </w:t>
      </w:r>
      <w:r>
        <w:t xml:space="preserve">Governors must have a written policy in place to evaluate transfer requests from local workforce areas which </w:t>
      </w:r>
      <w:r w:rsidR="00DC28A4">
        <w:t>are</w:t>
      </w:r>
      <w:r>
        <w:t xml:space="preserve"> documented in the State Plan or another written policy.</w:t>
      </w:r>
      <w:r>
        <w:rPr>
          <w:spacing w:val="40"/>
        </w:rPr>
        <w:t xml:space="preserve"> </w:t>
      </w:r>
      <w:r>
        <w:t>Employment and Training</w:t>
      </w:r>
      <w:r>
        <w:rPr>
          <w:spacing w:val="13"/>
        </w:rPr>
        <w:t xml:space="preserve"> </w:t>
      </w:r>
      <w:r>
        <w:t>Administration</w:t>
      </w:r>
      <w:r>
        <w:rPr>
          <w:spacing w:val="12"/>
        </w:rPr>
        <w:t xml:space="preserve"> </w:t>
      </w:r>
      <w:r>
        <w:t>(ETA)</w:t>
      </w:r>
      <w:r>
        <w:rPr>
          <w:spacing w:val="14"/>
        </w:rPr>
        <w:t xml:space="preserve"> </w:t>
      </w:r>
      <w:r>
        <w:t>encourages</w:t>
      </w:r>
      <w:r>
        <w:rPr>
          <w:spacing w:val="15"/>
        </w:rPr>
        <w:t xml:space="preserve"> </w:t>
      </w:r>
      <w:r>
        <w:t>the</w:t>
      </w:r>
      <w:r>
        <w:rPr>
          <w:spacing w:val="13"/>
        </w:rPr>
        <w:t xml:space="preserve"> </w:t>
      </w:r>
      <w:r>
        <w:t>Governor’s</w:t>
      </w:r>
      <w:r>
        <w:rPr>
          <w:spacing w:val="15"/>
        </w:rPr>
        <w:t xml:space="preserve"> </w:t>
      </w:r>
      <w:r>
        <w:t>policy</w:t>
      </w:r>
      <w:r>
        <w:rPr>
          <w:spacing w:val="14"/>
        </w:rPr>
        <w:t xml:space="preserve"> </w:t>
      </w:r>
      <w:r>
        <w:t>to</w:t>
      </w:r>
      <w:r>
        <w:rPr>
          <w:spacing w:val="14"/>
        </w:rPr>
        <w:t xml:space="preserve"> </w:t>
      </w:r>
      <w:r>
        <w:t>consider</w:t>
      </w:r>
      <w:r>
        <w:rPr>
          <w:spacing w:val="13"/>
        </w:rPr>
        <w:t xml:space="preserve"> </w:t>
      </w:r>
      <w:r>
        <w:t>the</w:t>
      </w:r>
      <w:r>
        <w:rPr>
          <w:spacing w:val="13"/>
        </w:rPr>
        <w:t xml:space="preserve"> </w:t>
      </w:r>
      <w:r>
        <w:t>employment</w:t>
      </w:r>
      <w:r>
        <w:rPr>
          <w:spacing w:val="15"/>
        </w:rPr>
        <w:t xml:space="preserve"> </w:t>
      </w:r>
      <w:r>
        <w:rPr>
          <w:spacing w:val="-5"/>
        </w:rPr>
        <w:t>and</w:t>
      </w:r>
    </w:p>
    <w:p w14:paraId="681D1956" w14:textId="77777777" w:rsidR="005D122E" w:rsidRDefault="005D122E">
      <w:pPr>
        <w:jc w:val="both"/>
        <w:sectPr w:rsidR="005D122E">
          <w:footerReference w:type="default" r:id="rId8"/>
          <w:type w:val="continuous"/>
          <w:pgSz w:w="12240" w:h="15840"/>
          <w:pgMar w:top="1220" w:right="1180" w:bottom="1400" w:left="1180" w:header="0" w:footer="1204" w:gutter="0"/>
          <w:pgNumType w:start="1"/>
          <w:cols w:space="720"/>
        </w:sectPr>
      </w:pPr>
    </w:p>
    <w:p w14:paraId="681D1957" w14:textId="77777777" w:rsidR="005D122E" w:rsidRDefault="00F90A83">
      <w:pPr>
        <w:pStyle w:val="BodyText"/>
        <w:spacing w:before="75"/>
        <w:ind w:left="115" w:right="113"/>
        <w:jc w:val="both"/>
      </w:pPr>
      <w:r>
        <w:lastRenderedPageBreak/>
        <w:t>service needs of the local area (both job seekers and employers), current labor market information and demographics, consistency with broader strategies in the local plan, meeting the Local Area’s negotiated levels of performance, and any other considerations the Governor considers necessary to determine the appropriateness of a transfer.</w:t>
      </w:r>
      <w:r>
        <w:rPr>
          <w:spacing w:val="40"/>
        </w:rPr>
        <w:t xml:space="preserve"> </w:t>
      </w:r>
      <w:r>
        <w:t>Expenditures of monies transferred between the local Dislocated Worker and Adult programs are reported on the ETA-9130 reports.</w:t>
      </w:r>
      <w:r>
        <w:rPr>
          <w:spacing w:val="40"/>
        </w:rPr>
        <w:t xml:space="preserve"> </w:t>
      </w:r>
      <w:r>
        <w:t>ETA notes when considering</w:t>
      </w:r>
      <w:r>
        <w:rPr>
          <w:spacing w:val="-13"/>
        </w:rPr>
        <w:t xml:space="preserve"> </w:t>
      </w:r>
      <w:r>
        <w:t>such</w:t>
      </w:r>
      <w:r>
        <w:rPr>
          <w:spacing w:val="-13"/>
        </w:rPr>
        <w:t xml:space="preserve"> </w:t>
      </w:r>
      <w:r>
        <w:t>transfers</w:t>
      </w:r>
      <w:r>
        <w:rPr>
          <w:spacing w:val="-13"/>
        </w:rPr>
        <w:t xml:space="preserve"> </w:t>
      </w:r>
      <w:r>
        <w:t>that</w:t>
      </w:r>
      <w:r>
        <w:rPr>
          <w:spacing w:val="-13"/>
        </w:rPr>
        <w:t xml:space="preserve"> </w:t>
      </w:r>
      <w:r>
        <w:t>career</w:t>
      </w:r>
      <w:r>
        <w:rPr>
          <w:spacing w:val="-14"/>
        </w:rPr>
        <w:t xml:space="preserve"> </w:t>
      </w:r>
      <w:r>
        <w:t>and</w:t>
      </w:r>
      <w:r>
        <w:rPr>
          <w:spacing w:val="-13"/>
        </w:rPr>
        <w:t xml:space="preserve"> </w:t>
      </w:r>
      <w:r>
        <w:t>training</w:t>
      </w:r>
      <w:r>
        <w:rPr>
          <w:spacing w:val="-13"/>
        </w:rPr>
        <w:t xml:space="preserve"> </w:t>
      </w:r>
      <w:r>
        <w:t>services</w:t>
      </w:r>
      <w:r>
        <w:rPr>
          <w:spacing w:val="-13"/>
        </w:rPr>
        <w:t xml:space="preserve"> </w:t>
      </w:r>
      <w:r>
        <w:t>must</w:t>
      </w:r>
      <w:r>
        <w:rPr>
          <w:spacing w:val="-13"/>
        </w:rPr>
        <w:t xml:space="preserve"> </w:t>
      </w:r>
      <w:r>
        <w:t>continue</w:t>
      </w:r>
      <w:r>
        <w:rPr>
          <w:spacing w:val="-14"/>
        </w:rPr>
        <w:t xml:space="preserve"> </w:t>
      </w:r>
      <w:r>
        <w:t>to</w:t>
      </w:r>
      <w:r>
        <w:rPr>
          <w:spacing w:val="-15"/>
        </w:rPr>
        <w:t xml:space="preserve"> </w:t>
      </w:r>
      <w:r>
        <w:t>be</w:t>
      </w:r>
      <w:r>
        <w:rPr>
          <w:spacing w:val="-14"/>
        </w:rPr>
        <w:t xml:space="preserve"> </w:t>
      </w:r>
      <w:r>
        <w:t>made</w:t>
      </w:r>
      <w:r>
        <w:rPr>
          <w:spacing w:val="-14"/>
        </w:rPr>
        <w:t xml:space="preserve"> </w:t>
      </w:r>
      <w:r>
        <w:t>available</w:t>
      </w:r>
      <w:r>
        <w:rPr>
          <w:spacing w:val="-14"/>
        </w:rPr>
        <w:t xml:space="preserve"> </w:t>
      </w:r>
      <w:r>
        <w:t>to</w:t>
      </w:r>
      <w:r>
        <w:rPr>
          <w:spacing w:val="-13"/>
        </w:rPr>
        <w:t xml:space="preserve"> </w:t>
      </w:r>
      <w:r>
        <w:t>both adults and dislocated workers in the American Job Centers. Reference WIOA Sec. 134(c)(1)</w:t>
      </w:r>
    </w:p>
    <w:p w14:paraId="681D1958" w14:textId="77777777" w:rsidR="005D122E" w:rsidRDefault="005D122E">
      <w:pPr>
        <w:pStyle w:val="BodyText"/>
      </w:pPr>
    </w:p>
    <w:p w14:paraId="681D1959" w14:textId="77777777" w:rsidR="005D122E" w:rsidRDefault="00F90A83">
      <w:pPr>
        <w:pStyle w:val="BodyText"/>
        <w:ind w:left="115" w:right="113"/>
        <w:jc w:val="both"/>
      </w:pPr>
      <w:r>
        <w:t>The</w:t>
      </w:r>
      <w:r>
        <w:rPr>
          <w:spacing w:val="-1"/>
        </w:rPr>
        <w:t xml:space="preserve"> </w:t>
      </w:r>
      <w:r>
        <w:t>state</w:t>
      </w:r>
      <w:r>
        <w:rPr>
          <w:spacing w:val="-1"/>
        </w:rPr>
        <w:t xml:space="preserve"> </w:t>
      </w:r>
      <w:r>
        <w:t>has</w:t>
      </w:r>
      <w:r>
        <w:rPr>
          <w:spacing w:val="-1"/>
        </w:rPr>
        <w:t xml:space="preserve"> </w:t>
      </w:r>
      <w:r>
        <w:t>created</w:t>
      </w:r>
      <w:r>
        <w:rPr>
          <w:spacing w:val="-1"/>
        </w:rPr>
        <w:t xml:space="preserve"> </w:t>
      </w:r>
      <w:r>
        <w:t>this</w:t>
      </w:r>
      <w:r>
        <w:rPr>
          <w:spacing w:val="-1"/>
        </w:rPr>
        <w:t xml:space="preserve"> </w:t>
      </w:r>
      <w:r>
        <w:t>policy</w:t>
      </w:r>
      <w:r>
        <w:rPr>
          <w:spacing w:val="-1"/>
        </w:rPr>
        <w:t xml:space="preserve"> </w:t>
      </w:r>
      <w:r>
        <w:t>and</w:t>
      </w:r>
      <w:r>
        <w:rPr>
          <w:spacing w:val="-1"/>
        </w:rPr>
        <w:t xml:space="preserve"> </w:t>
      </w:r>
      <w:r>
        <w:t>procedure</w:t>
      </w:r>
      <w:r>
        <w:rPr>
          <w:spacing w:val="-1"/>
        </w:rPr>
        <w:t xml:space="preserve"> </w:t>
      </w:r>
      <w:r>
        <w:t>on behalf</w:t>
      </w:r>
      <w:r>
        <w:rPr>
          <w:spacing w:val="-1"/>
        </w:rPr>
        <w:t xml:space="preserve"> </w:t>
      </w:r>
      <w:r>
        <w:t>of</w:t>
      </w:r>
      <w:r>
        <w:rPr>
          <w:spacing w:val="-1"/>
        </w:rPr>
        <w:t xml:space="preserve"> </w:t>
      </w:r>
      <w:r>
        <w:t>the</w:t>
      </w:r>
      <w:r>
        <w:rPr>
          <w:spacing w:val="-1"/>
        </w:rPr>
        <w:t xml:space="preserve"> </w:t>
      </w:r>
      <w:r>
        <w:t>Governor,</w:t>
      </w:r>
      <w:r>
        <w:rPr>
          <w:spacing w:val="-1"/>
        </w:rPr>
        <w:t xml:space="preserve"> </w:t>
      </w:r>
      <w:r>
        <w:t>in</w:t>
      </w:r>
      <w:r>
        <w:rPr>
          <w:spacing w:val="-1"/>
        </w:rPr>
        <w:t xml:space="preserve"> </w:t>
      </w:r>
      <w:r>
        <w:t>line</w:t>
      </w:r>
      <w:r>
        <w:rPr>
          <w:spacing w:val="-1"/>
        </w:rPr>
        <w:t xml:space="preserve"> </w:t>
      </w:r>
      <w:r>
        <w:t>with</w:t>
      </w:r>
      <w:r>
        <w:rPr>
          <w:spacing w:val="-1"/>
        </w:rPr>
        <w:t xml:space="preserve"> </w:t>
      </w:r>
      <w:hyperlink r:id="rId9">
        <w:r>
          <w:rPr>
            <w:color w:val="0000FF"/>
            <w:u w:val="single" w:color="0000FF"/>
          </w:rPr>
          <w:t>TEGL</w:t>
        </w:r>
        <w:r>
          <w:rPr>
            <w:color w:val="0000FF"/>
            <w:spacing w:val="-1"/>
            <w:u w:val="single" w:color="0000FF"/>
          </w:rPr>
          <w:t xml:space="preserve"> </w:t>
        </w:r>
        <w:r>
          <w:rPr>
            <w:color w:val="0000FF"/>
            <w:u w:val="single" w:color="0000FF"/>
          </w:rPr>
          <w:t>19-16</w:t>
        </w:r>
        <w:r>
          <w:t>,</w:t>
        </w:r>
      </w:hyperlink>
      <w:r>
        <w:t xml:space="preserve"> for use by LWDBs when requesting the transfer of funds between WIOA Title I Adult and DW programs.</w:t>
      </w:r>
      <w:r>
        <w:rPr>
          <w:spacing w:val="-11"/>
        </w:rPr>
        <w:t xml:space="preserve"> </w:t>
      </w:r>
      <w:r>
        <w:t>LWDBs</w:t>
      </w:r>
      <w:r>
        <w:rPr>
          <w:spacing w:val="-10"/>
        </w:rPr>
        <w:t xml:space="preserve"> </w:t>
      </w:r>
      <w:r>
        <w:t>do</w:t>
      </w:r>
      <w:r>
        <w:rPr>
          <w:spacing w:val="-11"/>
        </w:rPr>
        <w:t xml:space="preserve"> </w:t>
      </w:r>
      <w:r>
        <w:t>not</w:t>
      </w:r>
      <w:r>
        <w:rPr>
          <w:spacing w:val="-10"/>
        </w:rPr>
        <w:t xml:space="preserve"> </w:t>
      </w:r>
      <w:r>
        <w:t>have</w:t>
      </w:r>
      <w:r>
        <w:rPr>
          <w:spacing w:val="-12"/>
        </w:rPr>
        <w:t xml:space="preserve"> </w:t>
      </w:r>
      <w:r>
        <w:t>the</w:t>
      </w:r>
      <w:r>
        <w:rPr>
          <w:spacing w:val="-12"/>
        </w:rPr>
        <w:t xml:space="preserve"> </w:t>
      </w:r>
      <w:r>
        <w:t>authority</w:t>
      </w:r>
      <w:r>
        <w:rPr>
          <w:spacing w:val="-11"/>
        </w:rPr>
        <w:t xml:space="preserve"> </w:t>
      </w:r>
      <w:r>
        <w:t>to</w:t>
      </w:r>
      <w:r>
        <w:rPr>
          <w:spacing w:val="-11"/>
        </w:rPr>
        <w:t xml:space="preserve"> </w:t>
      </w:r>
      <w:r>
        <w:t>transfer</w:t>
      </w:r>
      <w:r>
        <w:rPr>
          <w:spacing w:val="-11"/>
        </w:rPr>
        <w:t xml:space="preserve"> </w:t>
      </w:r>
      <w:r>
        <w:t>funds</w:t>
      </w:r>
      <w:r>
        <w:rPr>
          <w:spacing w:val="-10"/>
        </w:rPr>
        <w:t xml:space="preserve"> </w:t>
      </w:r>
      <w:r>
        <w:t>to</w:t>
      </w:r>
      <w:r>
        <w:rPr>
          <w:spacing w:val="-11"/>
        </w:rPr>
        <w:t xml:space="preserve"> </w:t>
      </w:r>
      <w:r>
        <w:t>or</w:t>
      </w:r>
      <w:r>
        <w:rPr>
          <w:spacing w:val="-11"/>
        </w:rPr>
        <w:t xml:space="preserve"> </w:t>
      </w:r>
      <w:r>
        <w:t>from</w:t>
      </w:r>
      <w:r>
        <w:rPr>
          <w:spacing w:val="-10"/>
        </w:rPr>
        <w:t xml:space="preserve"> </w:t>
      </w:r>
      <w:r>
        <w:t>the</w:t>
      </w:r>
      <w:r>
        <w:rPr>
          <w:spacing w:val="-9"/>
        </w:rPr>
        <w:t xml:space="preserve"> </w:t>
      </w:r>
      <w:r>
        <w:t>youth</w:t>
      </w:r>
      <w:r>
        <w:rPr>
          <w:spacing w:val="-11"/>
        </w:rPr>
        <w:t xml:space="preserve"> </w:t>
      </w:r>
      <w:r>
        <w:t>activities</w:t>
      </w:r>
      <w:r>
        <w:rPr>
          <w:spacing w:val="-10"/>
        </w:rPr>
        <w:t xml:space="preserve"> </w:t>
      </w:r>
      <w:r>
        <w:t xml:space="preserve">program. Reference </w:t>
      </w:r>
      <w:hyperlink r:id="rId10">
        <w:r>
          <w:rPr>
            <w:color w:val="0000FF"/>
            <w:u w:val="single" w:color="0000FF"/>
          </w:rPr>
          <w:t>TEGL 15-22</w:t>
        </w:r>
      </w:hyperlink>
      <w:r>
        <w:rPr>
          <w:color w:val="0000FF"/>
        </w:rPr>
        <w:t xml:space="preserve"> </w:t>
      </w:r>
      <w:r>
        <w:t xml:space="preserve">and </w:t>
      </w:r>
      <w:hyperlink r:id="rId11">
        <w:r>
          <w:rPr>
            <w:color w:val="0000FF"/>
            <w:u w:val="single" w:color="0000FF"/>
          </w:rPr>
          <w:t>20 CFR § 683.130</w:t>
        </w:r>
      </w:hyperlink>
    </w:p>
    <w:p w14:paraId="681D195A" w14:textId="77777777" w:rsidR="005D122E" w:rsidRDefault="005D122E">
      <w:pPr>
        <w:pStyle w:val="BodyText"/>
      </w:pPr>
    </w:p>
    <w:p w14:paraId="681D195B" w14:textId="77777777" w:rsidR="005D122E" w:rsidRDefault="00F90A83">
      <w:pPr>
        <w:pStyle w:val="Heading1"/>
        <w:rPr>
          <w:u w:val="none"/>
        </w:rPr>
      </w:pPr>
      <w:r>
        <w:rPr>
          <w:spacing w:val="-2"/>
          <w:u w:val="none"/>
        </w:rPr>
        <w:t>General:</w:t>
      </w:r>
    </w:p>
    <w:p w14:paraId="681D195C" w14:textId="77777777" w:rsidR="005D122E" w:rsidRDefault="005D122E">
      <w:pPr>
        <w:pStyle w:val="BodyText"/>
        <w:rPr>
          <w:b/>
        </w:rPr>
      </w:pPr>
    </w:p>
    <w:p w14:paraId="681D195D" w14:textId="77777777" w:rsidR="005D122E" w:rsidRDefault="00F90A83">
      <w:pPr>
        <w:ind w:left="115"/>
        <w:jc w:val="both"/>
        <w:rPr>
          <w:b/>
          <w:sz w:val="24"/>
        </w:rPr>
      </w:pPr>
      <w:r>
        <w:rPr>
          <w:b/>
          <w:sz w:val="24"/>
          <w:u w:val="single"/>
        </w:rPr>
        <w:t>Transfer</w:t>
      </w:r>
      <w:r>
        <w:rPr>
          <w:b/>
          <w:spacing w:val="-4"/>
          <w:sz w:val="24"/>
          <w:u w:val="single"/>
        </w:rPr>
        <w:t xml:space="preserve"> </w:t>
      </w:r>
      <w:r>
        <w:rPr>
          <w:b/>
          <w:sz w:val="24"/>
          <w:u w:val="single"/>
        </w:rPr>
        <w:t>Request</w:t>
      </w:r>
      <w:r>
        <w:rPr>
          <w:b/>
          <w:spacing w:val="-4"/>
          <w:sz w:val="24"/>
          <w:u w:val="single"/>
        </w:rPr>
        <w:t xml:space="preserve"> </w:t>
      </w:r>
      <w:r>
        <w:rPr>
          <w:b/>
          <w:spacing w:val="-2"/>
          <w:sz w:val="24"/>
          <w:u w:val="single"/>
        </w:rPr>
        <w:t>Procedure</w:t>
      </w:r>
    </w:p>
    <w:p w14:paraId="681D195E" w14:textId="20ACD155" w:rsidR="005D122E" w:rsidRDefault="00F90A83">
      <w:pPr>
        <w:pStyle w:val="BodyText"/>
        <w:ind w:left="115" w:right="111"/>
        <w:jc w:val="both"/>
      </w:pPr>
      <w:r>
        <w:t>LWDBs must submit an email request to transfer Adult or Dislocated Worker funds. Requests must be sent to the W</w:t>
      </w:r>
      <w:r w:rsidR="00A53508">
        <w:t>orkforce Programs</w:t>
      </w:r>
      <w:r>
        <w:t xml:space="preserve"> Chief with cc to the Program Manager and contract staff. When submitting this request,</w:t>
      </w:r>
      <w:r>
        <w:rPr>
          <w:spacing w:val="-13"/>
        </w:rPr>
        <w:t xml:space="preserve"> </w:t>
      </w:r>
      <w:r>
        <w:t>LWDBs</w:t>
      </w:r>
      <w:r>
        <w:rPr>
          <w:spacing w:val="-13"/>
        </w:rPr>
        <w:t xml:space="preserve"> </w:t>
      </w:r>
      <w:r>
        <w:t>will</w:t>
      </w:r>
      <w:r>
        <w:rPr>
          <w:spacing w:val="-13"/>
        </w:rPr>
        <w:t xml:space="preserve"> </w:t>
      </w:r>
      <w:r>
        <w:t>notify</w:t>
      </w:r>
      <w:r>
        <w:rPr>
          <w:spacing w:val="-13"/>
        </w:rPr>
        <w:t xml:space="preserve"> </w:t>
      </w:r>
      <w:r>
        <w:t>their</w:t>
      </w:r>
      <w:r>
        <w:rPr>
          <w:spacing w:val="-13"/>
        </w:rPr>
        <w:t xml:space="preserve"> </w:t>
      </w:r>
      <w:r>
        <w:t>Chief</w:t>
      </w:r>
      <w:r>
        <w:rPr>
          <w:spacing w:val="-14"/>
        </w:rPr>
        <w:t xml:space="preserve"> </w:t>
      </w:r>
      <w:r>
        <w:t>Local</w:t>
      </w:r>
      <w:r>
        <w:rPr>
          <w:spacing w:val="-13"/>
        </w:rPr>
        <w:t xml:space="preserve"> </w:t>
      </w:r>
      <w:r>
        <w:t>Elected</w:t>
      </w:r>
      <w:r>
        <w:rPr>
          <w:spacing w:val="-13"/>
        </w:rPr>
        <w:t xml:space="preserve"> </w:t>
      </w:r>
      <w:r>
        <w:t>Official/boards.</w:t>
      </w:r>
      <w:r>
        <w:rPr>
          <w:spacing w:val="35"/>
        </w:rPr>
        <w:t xml:space="preserve"> </w:t>
      </w:r>
      <w:r>
        <w:t>A</w:t>
      </w:r>
      <w:r>
        <w:rPr>
          <w:spacing w:val="-14"/>
        </w:rPr>
        <w:t xml:space="preserve"> </w:t>
      </w:r>
      <w:r>
        <w:t>brief</w:t>
      </w:r>
      <w:r>
        <w:rPr>
          <w:spacing w:val="-14"/>
        </w:rPr>
        <w:t xml:space="preserve"> </w:t>
      </w:r>
      <w:r>
        <w:t>explanation</w:t>
      </w:r>
      <w:r>
        <w:rPr>
          <w:spacing w:val="-13"/>
        </w:rPr>
        <w:t xml:space="preserve"> </w:t>
      </w:r>
      <w:r>
        <w:t>describing the reasons for the transfer must accompany the request and include justification that the transfer of funds will not adversely impact the provision of services to participants and that necessary services and client-planned activities will be maintained in the program from which funds are transferred. Also, an assessment of any potential layoffs or closures of which the LWDB is aware of and how these events will be addressed using existing funds if funds are transferred from the Dislocated Worker</w:t>
      </w:r>
      <w:r>
        <w:t xml:space="preserve"> program.</w:t>
      </w:r>
    </w:p>
    <w:p w14:paraId="681D195F" w14:textId="77777777" w:rsidR="005D122E" w:rsidRDefault="005D122E">
      <w:pPr>
        <w:pStyle w:val="BodyText"/>
      </w:pPr>
    </w:p>
    <w:p w14:paraId="681D1960" w14:textId="77777777" w:rsidR="005D122E" w:rsidRDefault="00F90A83">
      <w:pPr>
        <w:ind w:left="116"/>
        <w:jc w:val="both"/>
        <w:rPr>
          <w:b/>
          <w:i/>
          <w:sz w:val="24"/>
        </w:rPr>
      </w:pPr>
      <w:r>
        <w:rPr>
          <w:b/>
          <w:i/>
          <w:sz w:val="24"/>
        </w:rPr>
        <w:t>LWDBs</w:t>
      </w:r>
      <w:r>
        <w:rPr>
          <w:b/>
          <w:i/>
          <w:spacing w:val="-4"/>
          <w:sz w:val="24"/>
        </w:rPr>
        <w:t xml:space="preserve"> </w:t>
      </w:r>
      <w:r>
        <w:rPr>
          <w:b/>
          <w:i/>
          <w:sz w:val="24"/>
        </w:rPr>
        <w:t>must</w:t>
      </w:r>
      <w:r>
        <w:rPr>
          <w:b/>
          <w:i/>
          <w:spacing w:val="-2"/>
          <w:sz w:val="24"/>
        </w:rPr>
        <w:t xml:space="preserve"> </w:t>
      </w:r>
      <w:r>
        <w:rPr>
          <w:b/>
          <w:i/>
          <w:sz w:val="24"/>
        </w:rPr>
        <w:t>clearly</w:t>
      </w:r>
      <w:r>
        <w:rPr>
          <w:b/>
          <w:i/>
          <w:spacing w:val="-3"/>
          <w:sz w:val="24"/>
        </w:rPr>
        <w:t xml:space="preserve"> </w:t>
      </w:r>
      <w:r>
        <w:rPr>
          <w:b/>
          <w:i/>
          <w:sz w:val="24"/>
        </w:rPr>
        <w:t>request</w:t>
      </w:r>
      <w:r>
        <w:rPr>
          <w:b/>
          <w:i/>
          <w:spacing w:val="-1"/>
          <w:sz w:val="24"/>
        </w:rPr>
        <w:t xml:space="preserve"> </w:t>
      </w:r>
      <w:r>
        <w:rPr>
          <w:b/>
          <w:i/>
          <w:sz w:val="24"/>
        </w:rPr>
        <w:t>transfer,</w:t>
      </w:r>
      <w:r>
        <w:rPr>
          <w:b/>
          <w:i/>
          <w:spacing w:val="-2"/>
          <w:sz w:val="24"/>
        </w:rPr>
        <w:t xml:space="preserve"> </w:t>
      </w:r>
      <w:r>
        <w:rPr>
          <w:b/>
          <w:i/>
          <w:sz w:val="24"/>
        </w:rPr>
        <w:t>out</w:t>
      </w:r>
      <w:r>
        <w:rPr>
          <w:b/>
          <w:i/>
          <w:spacing w:val="-2"/>
          <w:sz w:val="24"/>
        </w:rPr>
        <w:t xml:space="preserve"> </w:t>
      </w:r>
      <w:r>
        <w:rPr>
          <w:b/>
          <w:i/>
          <w:sz w:val="24"/>
        </w:rPr>
        <w:t>of</w:t>
      </w:r>
      <w:r>
        <w:rPr>
          <w:b/>
          <w:i/>
          <w:spacing w:val="-2"/>
          <w:sz w:val="24"/>
        </w:rPr>
        <w:t xml:space="preserve"> </w:t>
      </w:r>
      <w:r>
        <w:rPr>
          <w:b/>
          <w:i/>
          <w:sz w:val="24"/>
        </w:rPr>
        <w:t>and</w:t>
      </w:r>
      <w:r>
        <w:rPr>
          <w:b/>
          <w:i/>
          <w:spacing w:val="-5"/>
          <w:sz w:val="24"/>
        </w:rPr>
        <w:t xml:space="preserve"> </w:t>
      </w:r>
      <w:r>
        <w:rPr>
          <w:b/>
          <w:i/>
          <w:sz w:val="24"/>
        </w:rPr>
        <w:t>into</w:t>
      </w:r>
      <w:r>
        <w:rPr>
          <w:b/>
          <w:i/>
          <w:spacing w:val="-2"/>
          <w:sz w:val="24"/>
        </w:rPr>
        <w:t xml:space="preserve"> </w:t>
      </w:r>
      <w:r>
        <w:rPr>
          <w:b/>
          <w:i/>
          <w:sz w:val="24"/>
        </w:rPr>
        <w:t>funding</w:t>
      </w:r>
      <w:r>
        <w:rPr>
          <w:b/>
          <w:i/>
          <w:spacing w:val="-1"/>
          <w:sz w:val="24"/>
        </w:rPr>
        <w:t xml:space="preserve"> </w:t>
      </w:r>
      <w:r>
        <w:rPr>
          <w:b/>
          <w:i/>
          <w:sz w:val="24"/>
        </w:rPr>
        <w:t>streams,</w:t>
      </w:r>
      <w:r>
        <w:rPr>
          <w:b/>
          <w:i/>
          <w:spacing w:val="-2"/>
          <w:sz w:val="24"/>
        </w:rPr>
        <w:t xml:space="preserve"> </w:t>
      </w:r>
      <w:r>
        <w:rPr>
          <w:b/>
          <w:i/>
          <w:sz w:val="24"/>
        </w:rPr>
        <w:t>in</w:t>
      </w:r>
      <w:r>
        <w:rPr>
          <w:b/>
          <w:i/>
          <w:spacing w:val="-4"/>
          <w:sz w:val="24"/>
        </w:rPr>
        <w:t xml:space="preserve"> </w:t>
      </w:r>
      <w:r>
        <w:rPr>
          <w:b/>
          <w:i/>
          <w:sz w:val="24"/>
        </w:rPr>
        <w:t>separate</w:t>
      </w:r>
      <w:r>
        <w:rPr>
          <w:b/>
          <w:i/>
          <w:spacing w:val="-2"/>
          <w:sz w:val="24"/>
        </w:rPr>
        <w:t xml:space="preserve"> letters.</w:t>
      </w:r>
    </w:p>
    <w:p w14:paraId="681D1961" w14:textId="77777777" w:rsidR="005D122E" w:rsidRDefault="005D122E">
      <w:pPr>
        <w:pStyle w:val="BodyText"/>
        <w:rPr>
          <w:b/>
          <w:i/>
        </w:rPr>
      </w:pPr>
    </w:p>
    <w:p w14:paraId="681D1962" w14:textId="77777777" w:rsidR="005D122E" w:rsidRDefault="00F90A83">
      <w:pPr>
        <w:pStyle w:val="Heading1"/>
        <w:ind w:left="116"/>
        <w:rPr>
          <w:u w:val="none"/>
        </w:rPr>
      </w:pPr>
      <w:r>
        <w:rPr>
          <w:spacing w:val="-2"/>
        </w:rPr>
        <w:t>Monitoring</w:t>
      </w:r>
    </w:p>
    <w:p w14:paraId="681D1963" w14:textId="77777777" w:rsidR="005D122E" w:rsidRDefault="00F90A83">
      <w:pPr>
        <w:pStyle w:val="BodyText"/>
        <w:spacing w:before="1"/>
        <w:ind w:left="115" w:right="111"/>
        <w:jc w:val="both"/>
      </w:pPr>
      <w:r>
        <w:t>At the local level, the LWDB must conduct oversight of the transfer of WIOA Adult and DW funds to</w:t>
      </w:r>
      <w:r>
        <w:rPr>
          <w:spacing w:val="-13"/>
        </w:rPr>
        <w:t xml:space="preserve"> </w:t>
      </w:r>
      <w:r>
        <w:t>ensure</w:t>
      </w:r>
      <w:r>
        <w:rPr>
          <w:spacing w:val="-14"/>
        </w:rPr>
        <w:t xml:space="preserve"> </w:t>
      </w:r>
      <w:r>
        <w:t>the</w:t>
      </w:r>
      <w:r>
        <w:rPr>
          <w:spacing w:val="-14"/>
        </w:rPr>
        <w:t xml:space="preserve"> </w:t>
      </w:r>
      <w:r>
        <w:t>newly</w:t>
      </w:r>
      <w:r>
        <w:rPr>
          <w:spacing w:val="-13"/>
        </w:rPr>
        <w:t xml:space="preserve"> </w:t>
      </w:r>
      <w:r>
        <w:t>transferred</w:t>
      </w:r>
      <w:r>
        <w:rPr>
          <w:spacing w:val="-11"/>
        </w:rPr>
        <w:t xml:space="preserve"> </w:t>
      </w:r>
      <w:r>
        <w:t>funds</w:t>
      </w:r>
      <w:r>
        <w:rPr>
          <w:spacing w:val="-13"/>
        </w:rPr>
        <w:t xml:space="preserve"> </w:t>
      </w:r>
      <w:r>
        <w:t>are</w:t>
      </w:r>
      <w:r>
        <w:rPr>
          <w:spacing w:val="-14"/>
        </w:rPr>
        <w:t xml:space="preserve"> </w:t>
      </w:r>
      <w:r>
        <w:t>expended</w:t>
      </w:r>
      <w:r>
        <w:rPr>
          <w:spacing w:val="-11"/>
        </w:rPr>
        <w:t xml:space="preserve"> </w:t>
      </w:r>
      <w:r>
        <w:t>appropriately</w:t>
      </w:r>
      <w:r>
        <w:rPr>
          <w:spacing w:val="-11"/>
        </w:rPr>
        <w:t xml:space="preserve"> </w:t>
      </w:r>
      <w:r>
        <w:t>and</w:t>
      </w:r>
      <w:r>
        <w:rPr>
          <w:spacing w:val="-13"/>
        </w:rPr>
        <w:t xml:space="preserve"> </w:t>
      </w:r>
      <w:r>
        <w:t>meet</w:t>
      </w:r>
      <w:r>
        <w:rPr>
          <w:spacing w:val="-13"/>
        </w:rPr>
        <w:t xml:space="preserve"> </w:t>
      </w:r>
      <w:r>
        <w:t>or</w:t>
      </w:r>
      <w:r>
        <w:rPr>
          <w:spacing w:val="-11"/>
        </w:rPr>
        <w:t xml:space="preserve"> </w:t>
      </w:r>
      <w:r>
        <w:t>exceed</w:t>
      </w:r>
      <w:r>
        <w:rPr>
          <w:spacing w:val="-13"/>
        </w:rPr>
        <w:t xml:space="preserve"> </w:t>
      </w:r>
      <w:r>
        <w:t>the</w:t>
      </w:r>
      <w:r>
        <w:rPr>
          <w:spacing w:val="-14"/>
        </w:rPr>
        <w:t xml:space="preserve"> </w:t>
      </w:r>
      <w:r>
        <w:t>performance and financial requirements of the funding stream.</w:t>
      </w:r>
    </w:p>
    <w:p w14:paraId="681D1964" w14:textId="77777777" w:rsidR="005D122E" w:rsidRDefault="00F90A83">
      <w:pPr>
        <w:pStyle w:val="BodyText"/>
        <w:spacing w:before="276"/>
        <w:ind w:left="115" w:right="114"/>
        <w:jc w:val="both"/>
      </w:pPr>
      <w:r>
        <w:t>Through the State's monitoring system, fiscal monitors will review the area's transfer of Adult and DW funds during the annual monitoring review for compliance with federal and state laws and regulations. Any issues will be handled through the State's monitoring resolution process.</w:t>
      </w:r>
    </w:p>
    <w:p w14:paraId="681D1965" w14:textId="77777777" w:rsidR="005D122E" w:rsidRDefault="00F90A83">
      <w:pPr>
        <w:pStyle w:val="Heading1"/>
        <w:spacing w:before="276"/>
        <w:jc w:val="both"/>
        <w:rPr>
          <w:u w:val="none"/>
        </w:rPr>
      </w:pPr>
      <w:r>
        <w:t>Transfer</w:t>
      </w:r>
      <w:r>
        <w:rPr>
          <w:spacing w:val="-4"/>
        </w:rPr>
        <w:t xml:space="preserve"> </w:t>
      </w:r>
      <w:r>
        <w:rPr>
          <w:spacing w:val="-2"/>
        </w:rPr>
        <w:t>Authority</w:t>
      </w:r>
    </w:p>
    <w:p w14:paraId="681D1966" w14:textId="77777777" w:rsidR="005D122E" w:rsidRDefault="005D122E">
      <w:pPr>
        <w:pStyle w:val="BodyText"/>
        <w:rPr>
          <w:b/>
        </w:rPr>
      </w:pPr>
    </w:p>
    <w:p w14:paraId="681D1967" w14:textId="77777777" w:rsidR="005D122E" w:rsidRDefault="00F90A83">
      <w:pPr>
        <w:pStyle w:val="BodyText"/>
        <w:ind w:left="116" w:right="111"/>
        <w:jc w:val="both"/>
      </w:pPr>
      <w:r>
        <w:t>The</w:t>
      </w:r>
      <w:r>
        <w:rPr>
          <w:spacing w:val="-15"/>
        </w:rPr>
        <w:t xml:space="preserve"> </w:t>
      </w:r>
      <w:r>
        <w:t>authorization</w:t>
      </w:r>
      <w:r>
        <w:rPr>
          <w:spacing w:val="-15"/>
        </w:rPr>
        <w:t xml:space="preserve"> </w:t>
      </w:r>
      <w:r>
        <w:t>to</w:t>
      </w:r>
      <w:r>
        <w:rPr>
          <w:spacing w:val="-15"/>
        </w:rPr>
        <w:t xml:space="preserve"> </w:t>
      </w:r>
      <w:r>
        <w:t>transfer</w:t>
      </w:r>
      <w:r>
        <w:rPr>
          <w:spacing w:val="-15"/>
        </w:rPr>
        <w:t xml:space="preserve"> </w:t>
      </w:r>
      <w:r>
        <w:t>funds</w:t>
      </w:r>
      <w:r>
        <w:rPr>
          <w:spacing w:val="-15"/>
        </w:rPr>
        <w:t xml:space="preserve"> </w:t>
      </w:r>
      <w:r>
        <w:t>provides</w:t>
      </w:r>
      <w:r>
        <w:rPr>
          <w:spacing w:val="-15"/>
        </w:rPr>
        <w:t xml:space="preserve"> </w:t>
      </w:r>
      <w:r>
        <w:t>states</w:t>
      </w:r>
      <w:r>
        <w:rPr>
          <w:spacing w:val="-15"/>
        </w:rPr>
        <w:t xml:space="preserve"> </w:t>
      </w:r>
      <w:r>
        <w:t>and</w:t>
      </w:r>
      <w:r>
        <w:rPr>
          <w:spacing w:val="-15"/>
        </w:rPr>
        <w:t xml:space="preserve"> </w:t>
      </w:r>
      <w:r>
        <w:t>local</w:t>
      </w:r>
      <w:r>
        <w:rPr>
          <w:spacing w:val="-15"/>
        </w:rPr>
        <w:t xml:space="preserve"> </w:t>
      </w:r>
      <w:r>
        <w:t>communities</w:t>
      </w:r>
      <w:r>
        <w:rPr>
          <w:spacing w:val="-15"/>
        </w:rPr>
        <w:t xml:space="preserve"> </w:t>
      </w:r>
      <w:r>
        <w:t>with</w:t>
      </w:r>
      <w:r>
        <w:rPr>
          <w:spacing w:val="-15"/>
        </w:rPr>
        <w:t xml:space="preserve"> </w:t>
      </w:r>
      <w:r>
        <w:t>the</w:t>
      </w:r>
      <w:r>
        <w:rPr>
          <w:spacing w:val="-15"/>
        </w:rPr>
        <w:t xml:space="preserve"> </w:t>
      </w:r>
      <w:r>
        <w:t>flexibility</w:t>
      </w:r>
      <w:r>
        <w:rPr>
          <w:spacing w:val="-15"/>
        </w:rPr>
        <w:t xml:space="preserve"> </w:t>
      </w:r>
      <w:r>
        <w:t>to</w:t>
      </w:r>
      <w:r>
        <w:rPr>
          <w:spacing w:val="-15"/>
        </w:rPr>
        <w:t xml:space="preserve"> </w:t>
      </w:r>
      <w:r>
        <w:t>design programs and allocate resources to best serve the employment and training needs of adults and dislocated workers. The intent is also to allow greater flexibility as the system moves toward an integrated workforce development approach to consolidate programs and give greater authority to state and local decision makers.</w:t>
      </w:r>
    </w:p>
    <w:p w14:paraId="681D1968" w14:textId="77777777" w:rsidR="005D122E" w:rsidRDefault="005D122E">
      <w:pPr>
        <w:pStyle w:val="BodyText"/>
      </w:pPr>
    </w:p>
    <w:p w14:paraId="681D1969" w14:textId="77777777" w:rsidR="005D122E" w:rsidRDefault="00F90A83">
      <w:pPr>
        <w:ind w:left="116" w:right="115"/>
        <w:jc w:val="both"/>
        <w:rPr>
          <w:b/>
          <w:i/>
          <w:sz w:val="24"/>
        </w:rPr>
      </w:pPr>
      <w:r>
        <w:rPr>
          <w:b/>
          <w:i/>
          <w:sz w:val="24"/>
        </w:rPr>
        <w:t>Transfer of</w:t>
      </w:r>
      <w:r>
        <w:rPr>
          <w:b/>
          <w:i/>
          <w:spacing w:val="-1"/>
          <w:sz w:val="24"/>
        </w:rPr>
        <w:t xml:space="preserve"> </w:t>
      </w:r>
      <w:r>
        <w:rPr>
          <w:b/>
          <w:i/>
          <w:sz w:val="24"/>
        </w:rPr>
        <w:t>funds are</w:t>
      </w:r>
      <w:r>
        <w:rPr>
          <w:b/>
          <w:i/>
          <w:spacing w:val="-1"/>
          <w:sz w:val="24"/>
        </w:rPr>
        <w:t xml:space="preserve"> </w:t>
      </w:r>
      <w:r>
        <w:rPr>
          <w:b/>
          <w:i/>
          <w:sz w:val="24"/>
        </w:rPr>
        <w:t>transmitted in the</w:t>
      </w:r>
      <w:r>
        <w:rPr>
          <w:b/>
          <w:i/>
          <w:spacing w:val="-1"/>
          <w:sz w:val="24"/>
        </w:rPr>
        <w:t xml:space="preserve"> </w:t>
      </w:r>
      <w:r>
        <w:rPr>
          <w:b/>
          <w:i/>
          <w:sz w:val="24"/>
        </w:rPr>
        <w:t>use</w:t>
      </w:r>
      <w:r>
        <w:rPr>
          <w:b/>
          <w:i/>
          <w:spacing w:val="-1"/>
          <w:sz w:val="24"/>
        </w:rPr>
        <w:t xml:space="preserve"> </w:t>
      </w:r>
      <w:r>
        <w:rPr>
          <w:b/>
          <w:i/>
          <w:sz w:val="24"/>
        </w:rPr>
        <w:t>of</w:t>
      </w:r>
      <w:r>
        <w:rPr>
          <w:b/>
          <w:i/>
          <w:spacing w:val="-1"/>
          <w:sz w:val="24"/>
        </w:rPr>
        <w:t xml:space="preserve"> </w:t>
      </w:r>
      <w:r>
        <w:rPr>
          <w:b/>
          <w:i/>
          <w:sz w:val="24"/>
        </w:rPr>
        <w:t>subgrants and will be</w:t>
      </w:r>
      <w:r>
        <w:rPr>
          <w:b/>
          <w:i/>
          <w:spacing w:val="-1"/>
          <w:sz w:val="24"/>
        </w:rPr>
        <w:t xml:space="preserve"> </w:t>
      </w:r>
      <w:r>
        <w:rPr>
          <w:b/>
          <w:i/>
          <w:sz w:val="24"/>
        </w:rPr>
        <w:t>reported by</w:t>
      </w:r>
      <w:r>
        <w:rPr>
          <w:b/>
          <w:i/>
          <w:spacing w:val="-1"/>
          <w:sz w:val="24"/>
        </w:rPr>
        <w:t xml:space="preserve"> </w:t>
      </w:r>
      <w:r>
        <w:rPr>
          <w:b/>
          <w:i/>
          <w:sz w:val="24"/>
        </w:rPr>
        <w:t>way</w:t>
      </w:r>
      <w:r>
        <w:rPr>
          <w:b/>
          <w:i/>
          <w:spacing w:val="-1"/>
          <w:sz w:val="24"/>
        </w:rPr>
        <w:t xml:space="preserve"> </w:t>
      </w:r>
      <w:r>
        <w:rPr>
          <w:b/>
          <w:i/>
          <w:sz w:val="24"/>
        </w:rPr>
        <w:t>of</w:t>
      </w:r>
      <w:r>
        <w:rPr>
          <w:b/>
          <w:i/>
          <w:spacing w:val="-1"/>
          <w:sz w:val="24"/>
        </w:rPr>
        <w:t xml:space="preserve"> </w:t>
      </w:r>
      <w:r>
        <w:rPr>
          <w:b/>
          <w:i/>
          <w:sz w:val="24"/>
        </w:rPr>
        <w:t>quarterly Financial Reports.</w:t>
      </w:r>
    </w:p>
    <w:sectPr w:rsidR="005D122E">
      <w:pgSz w:w="12240" w:h="15840"/>
      <w:pgMar w:top="1220" w:right="1180" w:bottom="1440" w:left="1180" w:header="0" w:footer="12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6765" w14:textId="77777777" w:rsidR="00F90A83" w:rsidRDefault="00F90A83">
      <w:r>
        <w:separator/>
      </w:r>
    </w:p>
  </w:endnote>
  <w:endnote w:type="continuationSeparator" w:id="0">
    <w:p w14:paraId="49113138" w14:textId="77777777" w:rsidR="00F90A83" w:rsidRDefault="00F90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196A" w14:textId="77777777" w:rsidR="005D122E" w:rsidRDefault="00F90A83">
    <w:pPr>
      <w:pStyle w:val="BodyText"/>
      <w:spacing w:line="14" w:lineRule="auto"/>
      <w:rPr>
        <w:sz w:val="20"/>
      </w:rPr>
    </w:pPr>
    <w:r>
      <w:rPr>
        <w:noProof/>
      </w:rPr>
      <mc:AlternateContent>
        <mc:Choice Requires="wps">
          <w:drawing>
            <wp:anchor distT="0" distB="0" distL="0" distR="0" simplePos="0" relativeHeight="487543808" behindDoc="1" locked="0" layoutInCell="1" allowOverlap="1" wp14:anchorId="681D196B" wp14:editId="681D196C">
              <wp:simplePos x="0" y="0"/>
              <wp:positionH relativeFrom="page">
                <wp:posOffset>810259</wp:posOffset>
              </wp:positionH>
              <wp:positionV relativeFrom="page">
                <wp:posOffset>9119361</wp:posOffset>
              </wp:positionV>
              <wp:extent cx="2143760"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760" cy="678180"/>
                      </a:xfrm>
                      <a:prstGeom prst="rect">
                        <a:avLst/>
                      </a:prstGeom>
                    </wps:spPr>
                    <wps:txbx>
                      <w:txbxContent>
                        <w:p w14:paraId="681D196D" w14:textId="3F8C878B" w:rsidR="005D122E" w:rsidRDefault="00F90A83">
                          <w:pPr>
                            <w:spacing w:before="12" w:line="207" w:lineRule="exact"/>
                            <w:ind w:left="20"/>
                            <w:rPr>
                              <w:sz w:val="18"/>
                            </w:rPr>
                          </w:pPr>
                          <w:r>
                            <w:rPr>
                              <w:spacing w:val="-2"/>
                              <w:sz w:val="18"/>
                            </w:rPr>
                            <w:t>DETR/ESD/</w:t>
                          </w:r>
                          <w:r w:rsidR="00A53508">
                            <w:rPr>
                              <w:spacing w:val="-2"/>
                              <w:sz w:val="18"/>
                            </w:rPr>
                            <w:t>Workforce Programs</w:t>
                          </w:r>
                        </w:p>
                        <w:p w14:paraId="681D196E" w14:textId="77777777" w:rsidR="005D122E" w:rsidRDefault="00F90A83">
                          <w:pPr>
                            <w:spacing w:line="206" w:lineRule="exact"/>
                            <w:ind w:left="20"/>
                            <w:rPr>
                              <w:sz w:val="18"/>
                            </w:rPr>
                          </w:pPr>
                          <w:r>
                            <w:rPr>
                              <w:sz w:val="18"/>
                            </w:rPr>
                            <w:t>WIOA</w:t>
                          </w:r>
                          <w:r>
                            <w:rPr>
                              <w:spacing w:val="-3"/>
                              <w:sz w:val="18"/>
                            </w:rPr>
                            <w:t xml:space="preserve"> </w:t>
                          </w:r>
                          <w:r>
                            <w:rPr>
                              <w:sz w:val="18"/>
                            </w:rPr>
                            <w:t>State</w:t>
                          </w:r>
                          <w:r>
                            <w:rPr>
                              <w:spacing w:val="-3"/>
                              <w:sz w:val="18"/>
                            </w:rPr>
                            <w:t xml:space="preserve"> </w:t>
                          </w:r>
                          <w:r>
                            <w:rPr>
                              <w:sz w:val="18"/>
                            </w:rPr>
                            <w:t>Compliance</w:t>
                          </w:r>
                          <w:r>
                            <w:rPr>
                              <w:spacing w:val="-2"/>
                              <w:sz w:val="18"/>
                            </w:rPr>
                            <w:t xml:space="preserve"> Policies</w:t>
                          </w:r>
                        </w:p>
                        <w:p w14:paraId="681D196F" w14:textId="77777777" w:rsidR="005D122E" w:rsidRDefault="00F90A83">
                          <w:pPr>
                            <w:ind w:left="20"/>
                            <w:rPr>
                              <w:sz w:val="18"/>
                            </w:rPr>
                          </w:pPr>
                          <w:r>
                            <w:rPr>
                              <w:sz w:val="18"/>
                            </w:rPr>
                            <w:t>SCP</w:t>
                          </w:r>
                          <w:r>
                            <w:rPr>
                              <w:spacing w:val="-6"/>
                              <w:sz w:val="18"/>
                            </w:rPr>
                            <w:t xml:space="preserve"> </w:t>
                          </w:r>
                          <w:r>
                            <w:rPr>
                              <w:sz w:val="18"/>
                            </w:rPr>
                            <w:t>3.8</w:t>
                          </w:r>
                          <w:r>
                            <w:rPr>
                              <w:spacing w:val="-6"/>
                              <w:sz w:val="18"/>
                            </w:rPr>
                            <w:t xml:space="preserve"> </w:t>
                          </w:r>
                          <w:r>
                            <w:rPr>
                              <w:sz w:val="18"/>
                            </w:rPr>
                            <w:t>Transfer</w:t>
                          </w:r>
                          <w:r>
                            <w:rPr>
                              <w:spacing w:val="-7"/>
                              <w:sz w:val="18"/>
                            </w:rPr>
                            <w:t xml:space="preserve"> </w:t>
                          </w:r>
                          <w:r>
                            <w:rPr>
                              <w:sz w:val="18"/>
                            </w:rPr>
                            <w:t>of</w:t>
                          </w:r>
                          <w:r>
                            <w:rPr>
                              <w:spacing w:val="-8"/>
                              <w:sz w:val="18"/>
                            </w:rPr>
                            <w:t xml:space="preserve"> </w:t>
                          </w:r>
                          <w:r>
                            <w:rPr>
                              <w:sz w:val="18"/>
                            </w:rPr>
                            <w:t>Funds</w:t>
                          </w:r>
                          <w:r>
                            <w:rPr>
                              <w:spacing w:val="-7"/>
                              <w:sz w:val="18"/>
                            </w:rPr>
                            <w:t xml:space="preserve"> </w:t>
                          </w:r>
                          <w:r>
                            <w:rPr>
                              <w:sz w:val="18"/>
                            </w:rPr>
                            <w:t>Between</w:t>
                          </w:r>
                          <w:r>
                            <w:rPr>
                              <w:spacing w:val="-6"/>
                              <w:sz w:val="18"/>
                            </w:rPr>
                            <w:t xml:space="preserve"> </w:t>
                          </w:r>
                          <w:r>
                            <w:rPr>
                              <w:sz w:val="18"/>
                            </w:rPr>
                            <w:t>Programs December 2024</w:t>
                          </w:r>
                        </w:p>
                        <w:p w14:paraId="681D1970" w14:textId="77777777" w:rsidR="005D122E" w:rsidRDefault="00F90A83">
                          <w:pPr>
                            <w:spacing w:before="1"/>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1"/>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type w14:anchorId="681D196B" id="_x0000_t202" coordsize="21600,21600" o:spt="202" path="m,l,21600r21600,l21600,xe">
              <v:stroke joinstyle="miter"/>
              <v:path gradientshapeok="t" o:connecttype="rect"/>
            </v:shapetype>
            <v:shape id="Textbox 1" o:spid="_x0000_s1026" type="#_x0000_t202" style="position:absolute;margin-left:63.8pt;margin-top:718.05pt;width:168.8pt;height:53.4pt;z-index:-1577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" filled="f" stroked="f">
              <v:textbox inset="0,0,0,0">
                <w:txbxContent>
                  <w:p w14:paraId="681D196D" w14:textId="3F8C878B" w:rsidR="005D122E" w:rsidRDefault="00F90A83">
                    <w:pPr>
                      <w:spacing w:before="12" w:line="207" w:lineRule="exact"/>
                      <w:ind w:left="20"/>
                      <w:rPr>
                        <w:sz w:val="18"/>
                      </w:rPr>
                    </w:pPr>
                    <w:r>
                      <w:rPr>
                        <w:spacing w:val="-2"/>
                        <w:sz w:val="18"/>
                      </w:rPr>
                      <w:t>DETR/ESD/</w:t>
                    </w:r>
                    <w:r w:rsidR="00A53508">
                      <w:rPr>
                        <w:spacing w:val="-2"/>
                        <w:sz w:val="18"/>
                      </w:rPr>
                      <w:t>Workforce Programs</w:t>
                    </w:r>
                  </w:p>
                  <w:p w14:paraId="681D196E" w14:textId="77777777" w:rsidR="005D122E" w:rsidRDefault="00F90A83">
                    <w:pPr>
                      <w:spacing w:line="206" w:lineRule="exact"/>
                      <w:ind w:left="20"/>
                      <w:rPr>
                        <w:sz w:val="18"/>
                      </w:rPr>
                    </w:pPr>
                    <w:r>
                      <w:rPr>
                        <w:sz w:val="18"/>
                      </w:rPr>
                      <w:t>WIOA</w:t>
                    </w:r>
                    <w:r>
                      <w:rPr>
                        <w:spacing w:val="-3"/>
                        <w:sz w:val="18"/>
                      </w:rPr>
                      <w:t xml:space="preserve"> </w:t>
                    </w:r>
                    <w:r>
                      <w:rPr>
                        <w:sz w:val="18"/>
                      </w:rPr>
                      <w:t>State</w:t>
                    </w:r>
                    <w:r>
                      <w:rPr>
                        <w:spacing w:val="-3"/>
                        <w:sz w:val="18"/>
                      </w:rPr>
                      <w:t xml:space="preserve"> </w:t>
                    </w:r>
                    <w:r>
                      <w:rPr>
                        <w:sz w:val="18"/>
                      </w:rPr>
                      <w:t>Compliance</w:t>
                    </w:r>
                    <w:r>
                      <w:rPr>
                        <w:spacing w:val="-2"/>
                        <w:sz w:val="18"/>
                      </w:rPr>
                      <w:t xml:space="preserve"> Policies</w:t>
                    </w:r>
                  </w:p>
                  <w:p w14:paraId="681D196F" w14:textId="77777777" w:rsidR="005D122E" w:rsidRDefault="00F90A83">
                    <w:pPr>
                      <w:ind w:left="20"/>
                      <w:rPr>
                        <w:sz w:val="18"/>
                      </w:rPr>
                    </w:pPr>
                    <w:r>
                      <w:rPr>
                        <w:sz w:val="18"/>
                      </w:rPr>
                      <w:t>SCP</w:t>
                    </w:r>
                    <w:r>
                      <w:rPr>
                        <w:spacing w:val="-6"/>
                        <w:sz w:val="18"/>
                      </w:rPr>
                      <w:t xml:space="preserve"> </w:t>
                    </w:r>
                    <w:r>
                      <w:rPr>
                        <w:sz w:val="18"/>
                      </w:rPr>
                      <w:t>3.8</w:t>
                    </w:r>
                    <w:r>
                      <w:rPr>
                        <w:spacing w:val="-6"/>
                        <w:sz w:val="18"/>
                      </w:rPr>
                      <w:t xml:space="preserve"> </w:t>
                    </w:r>
                    <w:r>
                      <w:rPr>
                        <w:sz w:val="18"/>
                      </w:rPr>
                      <w:t>Transfer</w:t>
                    </w:r>
                    <w:r>
                      <w:rPr>
                        <w:spacing w:val="-7"/>
                        <w:sz w:val="18"/>
                      </w:rPr>
                      <w:t xml:space="preserve"> </w:t>
                    </w:r>
                    <w:r>
                      <w:rPr>
                        <w:sz w:val="18"/>
                      </w:rPr>
                      <w:t>of</w:t>
                    </w:r>
                    <w:r>
                      <w:rPr>
                        <w:spacing w:val="-8"/>
                        <w:sz w:val="18"/>
                      </w:rPr>
                      <w:t xml:space="preserve"> </w:t>
                    </w:r>
                    <w:r>
                      <w:rPr>
                        <w:sz w:val="18"/>
                      </w:rPr>
                      <w:t>Funds</w:t>
                    </w:r>
                    <w:r>
                      <w:rPr>
                        <w:spacing w:val="-7"/>
                        <w:sz w:val="18"/>
                      </w:rPr>
                      <w:t xml:space="preserve"> </w:t>
                    </w:r>
                    <w:r>
                      <w:rPr>
                        <w:sz w:val="18"/>
                      </w:rPr>
                      <w:t>Between</w:t>
                    </w:r>
                    <w:r>
                      <w:rPr>
                        <w:spacing w:val="-6"/>
                        <w:sz w:val="18"/>
                      </w:rPr>
                      <w:t xml:space="preserve"> </w:t>
                    </w:r>
                    <w:r>
                      <w:rPr>
                        <w:sz w:val="18"/>
                      </w:rPr>
                      <w:t>Programs December 2024</w:t>
                    </w:r>
                  </w:p>
                  <w:p w14:paraId="681D1970" w14:textId="77777777" w:rsidR="005D122E" w:rsidRDefault="00F90A83">
                    <w:pPr>
                      <w:spacing w:before="1"/>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1"/>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256D8" w14:textId="77777777" w:rsidR="00F90A83" w:rsidRDefault="00F90A83">
      <w:r>
        <w:separator/>
      </w:r>
    </w:p>
  </w:footnote>
  <w:footnote w:type="continuationSeparator" w:id="0">
    <w:p w14:paraId="77BF35A1" w14:textId="77777777" w:rsidR="00F90A83" w:rsidRDefault="00F90A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D122E"/>
    <w:rsid w:val="00421C83"/>
    <w:rsid w:val="005D122E"/>
    <w:rsid w:val="00A53508"/>
    <w:rsid w:val="00DC28A4"/>
    <w:rsid w:val="00F90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D193C"/>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5"/>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3508"/>
    <w:pPr>
      <w:tabs>
        <w:tab w:val="center" w:pos="4680"/>
        <w:tab w:val="right" w:pos="9360"/>
      </w:tabs>
    </w:pPr>
  </w:style>
  <w:style w:type="character" w:customStyle="1" w:styleId="HeaderChar">
    <w:name w:val="Header Char"/>
    <w:basedOn w:val="DefaultParagraphFont"/>
    <w:link w:val="Header"/>
    <w:uiPriority w:val="99"/>
    <w:rsid w:val="00A53508"/>
    <w:rPr>
      <w:rFonts w:ascii="Times New Roman" w:eastAsia="Times New Roman" w:hAnsi="Times New Roman" w:cs="Times New Roman"/>
    </w:rPr>
  </w:style>
  <w:style w:type="paragraph" w:styleId="Footer">
    <w:name w:val="footer"/>
    <w:basedOn w:val="Normal"/>
    <w:link w:val="FooterChar"/>
    <w:uiPriority w:val="99"/>
    <w:unhideWhenUsed/>
    <w:rsid w:val="00A53508"/>
    <w:pPr>
      <w:tabs>
        <w:tab w:val="center" w:pos="4680"/>
        <w:tab w:val="right" w:pos="9360"/>
      </w:tabs>
    </w:pPr>
  </w:style>
  <w:style w:type="character" w:customStyle="1" w:styleId="FooterChar">
    <w:name w:val="Footer Char"/>
    <w:basedOn w:val="DefaultParagraphFont"/>
    <w:link w:val="Footer"/>
    <w:uiPriority w:val="99"/>
    <w:rsid w:val="00A5350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ol.gov/agencies/eta/advisories/tegl-15-2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ol.gov/agencies/eta/advisories/training-and-employment-guidance-letter-no-19-16" TargetMode="External"/><Relationship Id="rId11" Type="http://schemas.openxmlformats.org/officeDocument/2006/relationships/hyperlink" Target="https://www.ecfr.gov/current/title-20/chapter-V/part-683/subpart-A/section-683.130" TargetMode="External"/><Relationship Id="rId5" Type="http://schemas.openxmlformats.org/officeDocument/2006/relationships/endnotes" Target="endnotes.xml"/><Relationship Id="rId10" Type="http://schemas.openxmlformats.org/officeDocument/2006/relationships/hyperlink" Target="https://www.dol.gov/agencies/eta/advisories/tegl-15-22" TargetMode="External"/><Relationship Id="rId4" Type="http://schemas.openxmlformats.org/officeDocument/2006/relationships/footnotes" Target="footnotes.xml"/><Relationship Id="rId9" Type="http://schemas.openxmlformats.org/officeDocument/2006/relationships/hyperlink" Target="https://www.dol.gov/agencies/eta/advisories/training-and-employment-guidance-letter-no-19-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875</Words>
  <Characters>4991</Characters>
  <Application>Microsoft Office Word</Application>
  <DocSecurity>0</DocSecurity>
  <Lines>41</Lines>
  <Paragraphs>11</Paragraphs>
  <ScaleCrop>false</ScaleCrop>
  <Company>State of Nevada</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Jadidi</dc:creator>
  <cp:lastModifiedBy>Kimberly Jadidi</cp:lastModifiedBy>
  <cp:revision>3</cp:revision>
  <dcterms:created xsi:type="dcterms:W3CDTF">2026-08-27T20:50:00Z</dcterms:created>
  <dcterms:modified xsi:type="dcterms:W3CDTF">2026-08-28T20:20:00Z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Acrobat PDFMaker 24 for Word</vt:lpwstr>
  </property>
  <property fmtid="{D5CDD505-2E9C-101B-9397-08002B2CF9AE}" pid="4" name="LastSaved">
    <vt:filetime>2026-08-27T00:00:00Z</vt:filetime>
  </property>
  <property fmtid="{D5CDD505-2E9C-101B-9397-08002B2CF9AE}" pid="5" name="Producer">
    <vt:lpwstr>Adobe PDF Library 24.5.83</vt:lpwstr>
  </property>
  <property fmtid="{D5CDD505-2E9C-101B-9397-08002B2CF9AE}" pid="6" name="SourceModified">
    <vt:lpwstr>D:20241210191734</vt:lpwstr>
  </property>
</Properties>
</file>