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5D46" w14:textId="77777777" w:rsidR="00E04AC8" w:rsidRDefault="00A810ED">
      <w:pPr>
        <w:spacing w:before="76"/>
        <w:ind w:left="290" w:right="291"/>
        <w:jc w:val="center"/>
        <w:rPr>
          <w:b/>
          <w:sz w:val="28"/>
        </w:rPr>
      </w:pPr>
      <w:r>
        <w:rPr>
          <w:b/>
          <w:sz w:val="28"/>
        </w:rPr>
        <w:t>Nevada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Employment,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Training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Rehabilitation Employment Security Division</w:t>
      </w:r>
    </w:p>
    <w:p w14:paraId="0D515D47" w14:textId="37325727" w:rsidR="00E04AC8" w:rsidRDefault="00A810ED">
      <w:pPr>
        <w:spacing w:line="321" w:lineRule="exact"/>
        <w:ind w:left="290" w:right="291"/>
        <w:jc w:val="center"/>
        <w:rPr>
          <w:b/>
          <w:sz w:val="28"/>
        </w:rPr>
      </w:pPr>
      <w:r>
        <w:rPr>
          <w:b/>
          <w:sz w:val="28"/>
        </w:rPr>
        <w:t>Workforce</w:t>
      </w:r>
      <w:r>
        <w:rPr>
          <w:b/>
          <w:spacing w:val="-7"/>
          <w:sz w:val="28"/>
        </w:rPr>
        <w:t xml:space="preserve"> </w:t>
      </w:r>
      <w:r w:rsidR="00D73B06">
        <w:rPr>
          <w:b/>
          <w:sz w:val="28"/>
        </w:rPr>
        <w:t>Programs</w:t>
      </w:r>
    </w:p>
    <w:p w14:paraId="0D515D48" w14:textId="77777777" w:rsidR="00E04AC8" w:rsidRDefault="00E04AC8">
      <w:pPr>
        <w:pStyle w:val="BodyText"/>
        <w:spacing w:before="1"/>
        <w:ind w:left="0"/>
        <w:rPr>
          <w:b/>
          <w:sz w:val="28"/>
        </w:rPr>
      </w:pPr>
    </w:p>
    <w:p w14:paraId="0D515D49" w14:textId="77777777" w:rsidR="00E04AC8" w:rsidRDefault="00A810ED">
      <w:pPr>
        <w:spacing w:before="1"/>
        <w:ind w:left="1507" w:right="1503"/>
        <w:jc w:val="center"/>
        <w:rPr>
          <w:b/>
          <w:sz w:val="28"/>
        </w:rPr>
      </w:pPr>
      <w:r>
        <w:rPr>
          <w:b/>
          <w:sz w:val="28"/>
        </w:rPr>
        <w:t>Workforce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Innovation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Opportunity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Act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(WIOA) State Compliance Policy (SCP)</w:t>
      </w:r>
    </w:p>
    <w:p w14:paraId="0D515D4A" w14:textId="77777777" w:rsidR="00E04AC8" w:rsidRDefault="00A810ED">
      <w:pPr>
        <w:pStyle w:val="Heading1"/>
        <w:spacing w:before="274"/>
        <w:jc w:val="left"/>
      </w:pPr>
      <w:r>
        <w:t>Policy</w:t>
      </w:r>
      <w:r>
        <w:rPr>
          <w:spacing w:val="-3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rPr>
          <w:spacing w:val="-5"/>
        </w:rPr>
        <w:t>3.5</w:t>
      </w:r>
    </w:p>
    <w:p w14:paraId="0D515D4B" w14:textId="77777777" w:rsidR="00E04AC8" w:rsidRDefault="00E04AC8">
      <w:pPr>
        <w:pStyle w:val="BodyText"/>
        <w:ind w:left="0"/>
        <w:rPr>
          <w:b/>
        </w:rPr>
      </w:pPr>
    </w:p>
    <w:p w14:paraId="0D515D4C" w14:textId="40F6D2BC" w:rsidR="00E04AC8" w:rsidRDefault="00A810ED">
      <w:pPr>
        <w:pStyle w:val="BodyText"/>
      </w:pPr>
      <w:r>
        <w:rPr>
          <w:b/>
          <w:u w:val="single"/>
        </w:rPr>
        <w:t>Originating Office:</w:t>
      </w:r>
      <w:r>
        <w:rPr>
          <w:b/>
        </w:rPr>
        <w:t xml:space="preserve"> </w:t>
      </w:r>
      <w:r>
        <w:t xml:space="preserve">Department of Employment, Training and Rehabilitation (DETR); Workforce </w:t>
      </w:r>
      <w:r w:rsidR="00D73B06">
        <w:t>Programs</w:t>
      </w:r>
    </w:p>
    <w:p w14:paraId="0D515D4D" w14:textId="77777777" w:rsidR="00E04AC8" w:rsidRDefault="00E04AC8">
      <w:pPr>
        <w:pStyle w:val="BodyText"/>
        <w:ind w:left="0"/>
      </w:pPr>
    </w:p>
    <w:p w14:paraId="0D515D4E" w14:textId="77777777" w:rsidR="00E04AC8" w:rsidRDefault="00A810ED">
      <w:pPr>
        <w:ind w:left="115"/>
        <w:rPr>
          <w:sz w:val="24"/>
        </w:rPr>
      </w:pPr>
      <w:r>
        <w:rPr>
          <w:b/>
          <w:sz w:val="24"/>
          <w:u w:val="single"/>
        </w:rPr>
        <w:t>Subject: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Subgrant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Closeout</w:t>
      </w:r>
    </w:p>
    <w:p w14:paraId="0D515D4F" w14:textId="77777777" w:rsidR="00E04AC8" w:rsidRDefault="00E04AC8">
      <w:pPr>
        <w:pStyle w:val="BodyText"/>
        <w:ind w:left="0"/>
      </w:pPr>
    </w:p>
    <w:p w14:paraId="0D515D50" w14:textId="77777777" w:rsidR="00E04AC8" w:rsidRDefault="00A810ED">
      <w:pPr>
        <w:pStyle w:val="BodyText"/>
      </w:pPr>
      <w:r>
        <w:rPr>
          <w:b/>
          <w:u w:val="single"/>
        </w:rPr>
        <w:t>Approved:</w:t>
      </w:r>
      <w:r>
        <w:rPr>
          <w:b/>
          <w:spacing w:val="74"/>
        </w:rPr>
        <w:t xml:space="preserve"> </w:t>
      </w:r>
      <w:r>
        <w:t>Governor’s</w:t>
      </w:r>
      <w:r>
        <w:rPr>
          <w:spacing w:val="77"/>
        </w:rPr>
        <w:t xml:space="preserve"> </w:t>
      </w:r>
      <w:r>
        <w:t>Workforce</w:t>
      </w:r>
      <w:r>
        <w:rPr>
          <w:spacing w:val="76"/>
        </w:rPr>
        <w:t xml:space="preserve"> </w:t>
      </w:r>
      <w:r>
        <w:t>Development</w:t>
      </w:r>
      <w:r>
        <w:rPr>
          <w:spacing w:val="75"/>
        </w:rPr>
        <w:t xml:space="preserve"> </w:t>
      </w:r>
      <w:r>
        <w:t>Board</w:t>
      </w:r>
      <w:r>
        <w:rPr>
          <w:spacing w:val="75"/>
        </w:rPr>
        <w:t xml:space="preserve"> </w:t>
      </w:r>
      <w:r>
        <w:t>Executive</w:t>
      </w:r>
      <w:r>
        <w:rPr>
          <w:spacing w:val="76"/>
        </w:rPr>
        <w:t xml:space="preserve"> </w:t>
      </w:r>
      <w:r>
        <w:t>Committee</w:t>
      </w:r>
      <w:r>
        <w:rPr>
          <w:spacing w:val="74"/>
        </w:rPr>
        <w:t xml:space="preserve"> </w:t>
      </w:r>
      <w:r>
        <w:t>July</w:t>
      </w:r>
      <w:r>
        <w:rPr>
          <w:spacing w:val="75"/>
        </w:rPr>
        <w:t xml:space="preserve"> </w:t>
      </w:r>
      <w:r>
        <w:t>17,</w:t>
      </w:r>
      <w:r>
        <w:rPr>
          <w:spacing w:val="75"/>
        </w:rPr>
        <w:t xml:space="preserve"> </w:t>
      </w:r>
      <w:r>
        <w:t>2024; Replacing 2005 Workforce Investment Act (WIA) Section 3.5</w:t>
      </w:r>
    </w:p>
    <w:p w14:paraId="0D515D51" w14:textId="77777777" w:rsidR="00E04AC8" w:rsidRDefault="00E04AC8">
      <w:pPr>
        <w:pStyle w:val="BodyText"/>
        <w:ind w:left="0"/>
      </w:pPr>
    </w:p>
    <w:p w14:paraId="0D515D52" w14:textId="77777777" w:rsidR="00E04AC8" w:rsidRDefault="00A810ED">
      <w:pPr>
        <w:pStyle w:val="BodyText"/>
      </w:pPr>
      <w:r>
        <w:rPr>
          <w:b/>
          <w:spacing w:val="-2"/>
          <w:u w:val="single"/>
        </w:rPr>
        <w:t>Purpose:</w:t>
      </w:r>
      <w:r>
        <w:rPr>
          <w:b/>
          <w:spacing w:val="-6"/>
        </w:rPr>
        <w:t xml:space="preserve"> </w:t>
      </w:r>
      <w:r>
        <w:rPr>
          <w:spacing w:val="-2"/>
        </w:rPr>
        <w:t>Provide</w:t>
      </w:r>
      <w:r>
        <w:rPr>
          <w:spacing w:val="-6"/>
        </w:rPr>
        <w:t xml:space="preserve"> </w:t>
      </w:r>
      <w:r>
        <w:rPr>
          <w:spacing w:val="-2"/>
        </w:rPr>
        <w:t>guidance</w:t>
      </w:r>
      <w:r>
        <w:rPr>
          <w:spacing w:val="-5"/>
        </w:rPr>
        <w:t xml:space="preserve"> </w:t>
      </w:r>
      <w:r>
        <w:rPr>
          <w:spacing w:val="-2"/>
        </w:rPr>
        <w:t>on</w:t>
      </w:r>
      <w:r>
        <w:rPr>
          <w:spacing w:val="-4"/>
        </w:rPr>
        <w:t xml:space="preserve"> </w:t>
      </w:r>
      <w:r>
        <w:rPr>
          <w:spacing w:val="-2"/>
        </w:rPr>
        <w:t>contract</w:t>
      </w:r>
      <w: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subgrant</w:t>
      </w:r>
      <w:r>
        <w:rPr>
          <w:spacing w:val="-3"/>
        </w:rPr>
        <w:t xml:space="preserve"> </w:t>
      </w:r>
      <w:r>
        <w:rPr>
          <w:spacing w:val="-2"/>
        </w:rPr>
        <w:t>closeout procedures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WIOA</w:t>
      </w:r>
      <w:r>
        <w:rPr>
          <w:spacing w:val="-4"/>
        </w:rPr>
        <w:t xml:space="preserve"> </w:t>
      </w:r>
      <w:r>
        <w:rPr>
          <w:spacing w:val="-2"/>
        </w:rPr>
        <w:t>funded</w:t>
      </w:r>
      <w:r>
        <w:t xml:space="preserve"> </w:t>
      </w:r>
      <w:r>
        <w:rPr>
          <w:spacing w:val="-2"/>
        </w:rPr>
        <w:t>activities.</w:t>
      </w:r>
    </w:p>
    <w:p w14:paraId="0D515D53" w14:textId="77777777" w:rsidR="00E04AC8" w:rsidRDefault="00E04AC8">
      <w:pPr>
        <w:pStyle w:val="BodyText"/>
        <w:ind w:left="0"/>
      </w:pPr>
    </w:p>
    <w:p w14:paraId="0D515D54" w14:textId="77777777" w:rsidR="00E04AC8" w:rsidRDefault="00A810ED">
      <w:pPr>
        <w:ind w:left="115" w:right="115"/>
        <w:jc w:val="both"/>
        <w:rPr>
          <w:sz w:val="24"/>
        </w:rPr>
      </w:pPr>
      <w:r>
        <w:rPr>
          <w:b/>
          <w:sz w:val="24"/>
          <w:u w:val="single"/>
        </w:rPr>
        <w:t>State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Imposed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Requirements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directive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contain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6"/>
          <w:sz w:val="24"/>
        </w:rPr>
        <w:t xml:space="preserve"> </w:t>
      </w:r>
      <w:r>
        <w:rPr>
          <w:sz w:val="24"/>
        </w:rPr>
        <w:t>State-imposed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These requirements are printed in </w:t>
      </w:r>
      <w:r>
        <w:rPr>
          <w:b/>
          <w:i/>
          <w:sz w:val="24"/>
        </w:rPr>
        <w:t xml:space="preserve">bold, italicized </w:t>
      </w:r>
      <w:r>
        <w:rPr>
          <w:sz w:val="24"/>
        </w:rPr>
        <w:t>type.</w:t>
      </w:r>
    </w:p>
    <w:p w14:paraId="0D515D55" w14:textId="77777777" w:rsidR="00E04AC8" w:rsidRDefault="00E04AC8">
      <w:pPr>
        <w:pStyle w:val="BodyText"/>
        <w:ind w:left="0"/>
      </w:pPr>
    </w:p>
    <w:p w14:paraId="0D515D56" w14:textId="2E1BE0D6" w:rsidR="00E04AC8" w:rsidRDefault="00A810ED">
      <w:pPr>
        <w:ind w:left="115"/>
        <w:jc w:val="both"/>
        <w:rPr>
          <w:sz w:val="24"/>
        </w:rPr>
      </w:pPr>
      <w:r>
        <w:rPr>
          <w:b/>
          <w:sz w:val="24"/>
          <w:u w:val="single"/>
        </w:rPr>
        <w:t>Authorities/References</w:t>
      </w:r>
      <w:r>
        <w:rPr>
          <w:b/>
          <w:sz w:val="24"/>
        </w:rPr>
        <w:t>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 CFR</w:t>
      </w:r>
      <w:r>
        <w:rPr>
          <w:spacing w:val="2"/>
          <w:sz w:val="24"/>
        </w:rPr>
        <w:t xml:space="preserve"> </w:t>
      </w:r>
      <w:r>
        <w:rPr>
          <w:sz w:val="24"/>
        </w:rPr>
        <w:t>Part 200</w:t>
      </w:r>
      <w:r>
        <w:rPr>
          <w:spacing w:val="1"/>
          <w:sz w:val="24"/>
        </w:rPr>
        <w:t xml:space="preserve"> </w:t>
      </w:r>
      <w:r>
        <w:rPr>
          <w:sz w:val="24"/>
        </w:rPr>
        <w:t>Subpart F</w:t>
      </w:r>
      <w:r w:rsidR="00D73B06">
        <w:rPr>
          <w:sz w:val="24"/>
        </w:rPr>
        <w:t>;</w:t>
      </w:r>
      <w:r>
        <w:rPr>
          <w:sz w:val="24"/>
        </w:rPr>
        <w:t xml:space="preserve"> 2</w:t>
      </w:r>
      <w:r>
        <w:rPr>
          <w:spacing w:val="1"/>
          <w:sz w:val="24"/>
        </w:rPr>
        <w:t xml:space="preserve"> </w:t>
      </w:r>
      <w:r>
        <w:rPr>
          <w:sz w:val="24"/>
        </w:rPr>
        <w:t>CFR</w:t>
      </w:r>
      <w:r>
        <w:rPr>
          <w:spacing w:val="1"/>
          <w:sz w:val="24"/>
        </w:rPr>
        <w:t xml:space="preserve"> </w:t>
      </w:r>
      <w:r>
        <w:rPr>
          <w:sz w:val="24"/>
        </w:rPr>
        <w:t>§§</w:t>
      </w:r>
      <w:r>
        <w:rPr>
          <w:spacing w:val="1"/>
          <w:sz w:val="24"/>
        </w:rPr>
        <w:t xml:space="preserve"> </w:t>
      </w:r>
      <w:r>
        <w:rPr>
          <w:sz w:val="24"/>
        </w:rPr>
        <w:t>200.310-316, 200.329,</w:t>
      </w:r>
      <w:r>
        <w:rPr>
          <w:spacing w:val="1"/>
          <w:sz w:val="24"/>
        </w:rPr>
        <w:t xml:space="preserve"> </w:t>
      </w:r>
      <w:r>
        <w:rPr>
          <w:sz w:val="24"/>
        </w:rPr>
        <w:t>200.333-</w:t>
      </w:r>
      <w:r>
        <w:rPr>
          <w:spacing w:val="-4"/>
          <w:sz w:val="24"/>
        </w:rPr>
        <w:t>337,</w:t>
      </w:r>
    </w:p>
    <w:p w14:paraId="0D515D57" w14:textId="309EE103" w:rsidR="00E04AC8" w:rsidRDefault="00A810ED">
      <w:pPr>
        <w:pStyle w:val="BodyText"/>
        <w:jc w:val="both"/>
      </w:pPr>
      <w:r>
        <w:t>200.343(a)-(f)</w:t>
      </w:r>
      <w:r w:rsidR="00D73B06">
        <w:t>;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2900.15</w:t>
      </w:r>
      <w:r w:rsidR="00D73B06">
        <w:t>;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 xml:space="preserve">§ </w:t>
      </w:r>
      <w:r>
        <w:rPr>
          <w:spacing w:val="-2"/>
        </w:rPr>
        <w:t>683.150</w:t>
      </w:r>
      <w:r w:rsidR="00D73B06">
        <w:rPr>
          <w:spacing w:val="-2"/>
        </w:rPr>
        <w:t>; Nevada SCPs</w:t>
      </w:r>
    </w:p>
    <w:p w14:paraId="0D515D58" w14:textId="77777777" w:rsidR="00E04AC8" w:rsidRDefault="00E04AC8">
      <w:pPr>
        <w:pStyle w:val="BodyText"/>
        <w:ind w:left="0"/>
      </w:pPr>
    </w:p>
    <w:p w14:paraId="0D515D59" w14:textId="77777777" w:rsidR="00E04AC8" w:rsidRDefault="00A810ED">
      <w:pPr>
        <w:pStyle w:val="BodyText"/>
        <w:ind w:right="115"/>
        <w:jc w:val="both"/>
      </w:pPr>
      <w:r>
        <w:rPr>
          <w:b/>
          <w:u w:val="single"/>
        </w:rPr>
        <w:t>ACTION REQUIRED:</w:t>
      </w:r>
      <w:r>
        <w:rPr>
          <w:b/>
        </w:rPr>
        <w:t xml:space="preserve"> </w:t>
      </w:r>
      <w:r>
        <w:t>Upon issuance bring this guidance to the attention of all WIOA service providers, Local Workforce Development Board (LWDB) board members and any other concerned parties.</w:t>
      </w:r>
      <w:r>
        <w:rPr>
          <w:spacing w:val="13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local</w:t>
      </w:r>
      <w:r>
        <w:rPr>
          <w:spacing w:val="-15"/>
        </w:rPr>
        <w:t xml:space="preserve"> </w:t>
      </w:r>
      <w:r>
        <w:t>boards’</w:t>
      </w:r>
      <w:r>
        <w:rPr>
          <w:spacing w:val="-15"/>
        </w:rPr>
        <w:t xml:space="preserve"> </w:t>
      </w:r>
      <w:r>
        <w:t>policies,</w:t>
      </w:r>
      <w:r>
        <w:rPr>
          <w:spacing w:val="-15"/>
        </w:rPr>
        <w:t xml:space="preserve"> </w:t>
      </w:r>
      <w:r>
        <w:t>procedures,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contracts</w:t>
      </w:r>
      <w:r>
        <w:rPr>
          <w:spacing w:val="-15"/>
        </w:rPr>
        <w:t xml:space="preserve"> </w:t>
      </w:r>
      <w:r>
        <w:t>affected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guidance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required to be updated accordingly.</w:t>
      </w:r>
    </w:p>
    <w:p w14:paraId="0D515D5A" w14:textId="77777777" w:rsidR="00E04AC8" w:rsidRDefault="00E04AC8">
      <w:pPr>
        <w:pStyle w:val="BodyText"/>
        <w:ind w:left="0"/>
      </w:pPr>
    </w:p>
    <w:p w14:paraId="0D515D5B" w14:textId="77777777" w:rsidR="00E04AC8" w:rsidRDefault="00A810ED">
      <w:pPr>
        <w:pStyle w:val="BodyText"/>
        <w:ind w:right="110"/>
        <w:jc w:val="both"/>
      </w:pPr>
      <w:r>
        <w:rPr>
          <w:b/>
          <w:u w:val="single"/>
        </w:rPr>
        <w:t>Background:</w:t>
      </w:r>
      <w:r>
        <w:rPr>
          <w:b/>
        </w:rPr>
        <w:t xml:space="preserve"> </w:t>
      </w:r>
      <w:r>
        <w:t>The Workforce Innovation and Opportunity Act updated closeout procedures originally promulgated in WIA.</w:t>
      </w:r>
      <w:r>
        <w:rPr>
          <w:spacing w:val="40"/>
        </w:rPr>
        <w:t xml:space="preserve"> </w:t>
      </w:r>
      <w:r>
        <w:t>Additionally, some of the financial requirements in Office of Management and Budget (OMB) Circulars A-87, A-102, and A-122 have been superseded by the provisions of 2 CFR Part 200 and 20 CFR Part 683.</w:t>
      </w:r>
    </w:p>
    <w:p w14:paraId="0D515D5C" w14:textId="77777777" w:rsidR="00E04AC8" w:rsidRDefault="00E04AC8">
      <w:pPr>
        <w:pStyle w:val="BodyText"/>
        <w:ind w:left="0"/>
      </w:pPr>
    </w:p>
    <w:p w14:paraId="0D515D5D" w14:textId="77777777" w:rsidR="00E04AC8" w:rsidRDefault="00A810ED">
      <w:pPr>
        <w:pStyle w:val="Heading1"/>
        <w:spacing w:before="1"/>
      </w:pPr>
      <w:r>
        <w:t>Policy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Procedure:</w:t>
      </w:r>
    </w:p>
    <w:p w14:paraId="0D515D5E" w14:textId="77777777" w:rsidR="00E04AC8" w:rsidRDefault="00A810ED">
      <w:pPr>
        <w:spacing w:before="276"/>
        <w:ind w:left="115"/>
        <w:jc w:val="both"/>
        <w:rPr>
          <w:sz w:val="24"/>
        </w:rPr>
      </w:pPr>
      <w:r>
        <w:rPr>
          <w:b/>
          <w:sz w:val="24"/>
          <w:u w:val="single"/>
        </w:rPr>
        <w:t>Closeout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Requirements: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683.150)</w:t>
      </w:r>
    </w:p>
    <w:p w14:paraId="0D515D5F" w14:textId="77777777" w:rsidR="00E04AC8" w:rsidRDefault="00A810ED">
      <w:pPr>
        <w:pStyle w:val="ListParagraph"/>
        <w:numPr>
          <w:ilvl w:val="0"/>
          <w:numId w:val="2"/>
        </w:numPr>
        <w:tabs>
          <w:tab w:val="left" w:pos="433"/>
        </w:tabs>
        <w:ind w:left="115" w:right="114" w:firstLine="0"/>
        <w:rPr>
          <w:sz w:val="24"/>
        </w:rPr>
      </w:pPr>
      <w:r>
        <w:rPr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expiration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period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performance,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closeout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award when</w:t>
      </w:r>
      <w:r>
        <w:rPr>
          <w:spacing w:val="23"/>
          <w:sz w:val="24"/>
        </w:rPr>
        <w:t xml:space="preserve"> </w:t>
      </w:r>
      <w:r>
        <w:rPr>
          <w:sz w:val="24"/>
        </w:rPr>
        <w:t>it</w:t>
      </w:r>
      <w:r>
        <w:rPr>
          <w:spacing w:val="23"/>
          <w:sz w:val="24"/>
        </w:rPr>
        <w:t xml:space="preserve"> </w:t>
      </w:r>
      <w:r>
        <w:rPr>
          <w:sz w:val="24"/>
        </w:rPr>
        <w:t>determines</w:t>
      </w:r>
      <w:r>
        <w:rPr>
          <w:spacing w:val="23"/>
          <w:sz w:val="24"/>
        </w:rPr>
        <w:t xml:space="preserve"> </w:t>
      </w:r>
      <w:r>
        <w:rPr>
          <w:sz w:val="24"/>
        </w:rPr>
        <w:t>that</w:t>
      </w:r>
      <w:r>
        <w:rPr>
          <w:spacing w:val="26"/>
          <w:sz w:val="24"/>
        </w:rPr>
        <w:t xml:space="preserve"> </w:t>
      </w:r>
      <w:r>
        <w:rPr>
          <w:sz w:val="24"/>
        </w:rPr>
        <w:t>all</w:t>
      </w:r>
      <w:r>
        <w:rPr>
          <w:spacing w:val="23"/>
          <w:sz w:val="24"/>
        </w:rPr>
        <w:t xml:space="preserve"> </w:t>
      </w:r>
      <w:r>
        <w:rPr>
          <w:sz w:val="24"/>
        </w:rPr>
        <w:t>applicable</w:t>
      </w:r>
      <w:r>
        <w:rPr>
          <w:spacing w:val="2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22"/>
          <w:sz w:val="24"/>
        </w:rPr>
        <w:t xml:space="preserve"> </w:t>
      </w:r>
      <w:r>
        <w:rPr>
          <w:sz w:val="24"/>
        </w:rPr>
        <w:t>actions</w:t>
      </w:r>
      <w:r>
        <w:rPr>
          <w:spacing w:val="23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all</w:t>
      </w:r>
      <w:r>
        <w:rPr>
          <w:spacing w:val="23"/>
          <w:sz w:val="24"/>
        </w:rPr>
        <w:t xml:space="preserve"> </w:t>
      </w:r>
      <w:r>
        <w:rPr>
          <w:sz w:val="24"/>
        </w:rPr>
        <w:t>required</w:t>
      </w:r>
      <w:r>
        <w:rPr>
          <w:spacing w:val="23"/>
          <w:sz w:val="24"/>
        </w:rPr>
        <w:t xml:space="preserve"> </w:t>
      </w:r>
      <w:r>
        <w:rPr>
          <w:sz w:val="24"/>
        </w:rPr>
        <w:t>work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Federal</w:t>
      </w:r>
    </w:p>
    <w:p w14:paraId="0D515D60" w14:textId="77777777" w:rsidR="00E04AC8" w:rsidRDefault="00E04AC8">
      <w:pPr>
        <w:rPr>
          <w:sz w:val="24"/>
        </w:rPr>
        <w:sectPr w:rsidR="00E04AC8">
          <w:footerReference w:type="default" r:id="rId7"/>
          <w:type w:val="continuous"/>
          <w:pgSz w:w="12240" w:h="15840"/>
          <w:pgMar w:top="1220" w:right="1180" w:bottom="2660" w:left="1180" w:header="0" w:footer="2473" w:gutter="0"/>
          <w:pgNumType w:start="1"/>
          <w:cols w:space="720"/>
        </w:sectPr>
      </w:pPr>
    </w:p>
    <w:p w14:paraId="0D515D61" w14:textId="77777777" w:rsidR="00E04AC8" w:rsidRDefault="00A810ED">
      <w:pPr>
        <w:pStyle w:val="BodyText"/>
        <w:spacing w:before="75"/>
        <w:ind w:right="117"/>
        <w:jc w:val="both"/>
      </w:pPr>
      <w:r>
        <w:lastRenderedPageBreak/>
        <w:t>award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completed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grant</w:t>
      </w:r>
      <w:r>
        <w:rPr>
          <w:spacing w:val="-15"/>
        </w:rPr>
        <w:t xml:space="preserve"> </w:t>
      </w:r>
      <w:r>
        <w:t>recipient.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section</w:t>
      </w:r>
      <w:r>
        <w:rPr>
          <w:spacing w:val="-15"/>
        </w:rPr>
        <w:t xml:space="preserve"> </w:t>
      </w:r>
      <w:r>
        <w:t>specifies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actions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grant</w:t>
      </w:r>
      <w:r>
        <w:rPr>
          <w:spacing w:val="-15"/>
        </w:rPr>
        <w:t xml:space="preserve"> </w:t>
      </w:r>
      <w:r>
        <w:t>recipient and the Department must take to complete this process.</w:t>
      </w:r>
    </w:p>
    <w:p w14:paraId="0D515D62" w14:textId="77777777" w:rsidR="00E04AC8" w:rsidRDefault="00A810ED">
      <w:pPr>
        <w:pStyle w:val="ListParagraph"/>
        <w:numPr>
          <w:ilvl w:val="1"/>
          <w:numId w:val="2"/>
        </w:numPr>
        <w:tabs>
          <w:tab w:val="left" w:pos="806"/>
        </w:tabs>
        <w:ind w:right="111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grant</w:t>
      </w:r>
      <w:r>
        <w:rPr>
          <w:spacing w:val="-7"/>
          <w:sz w:val="24"/>
        </w:rPr>
        <w:t xml:space="preserve"> </w:t>
      </w:r>
      <w:r>
        <w:rPr>
          <w:sz w:val="24"/>
        </w:rPr>
        <w:t>recipient</w:t>
      </w:r>
      <w:r>
        <w:rPr>
          <w:spacing w:val="-9"/>
          <w:sz w:val="24"/>
        </w:rPr>
        <w:t xml:space="preserve"> </w:t>
      </w:r>
      <w:r>
        <w:rPr>
          <w:sz w:val="24"/>
        </w:rPr>
        <w:t>must</w:t>
      </w:r>
      <w:r>
        <w:rPr>
          <w:spacing w:val="-9"/>
          <w:sz w:val="24"/>
        </w:rPr>
        <w:t xml:space="preserve"> </w:t>
      </w:r>
      <w:r>
        <w:rPr>
          <w:sz w:val="24"/>
        </w:rPr>
        <w:t>submit,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later</w:t>
      </w:r>
      <w:r>
        <w:rPr>
          <w:spacing w:val="-10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90</w:t>
      </w:r>
      <w:r>
        <w:rPr>
          <w:spacing w:val="-10"/>
          <w:sz w:val="24"/>
        </w:rPr>
        <w:t xml:space="preserve"> </w:t>
      </w:r>
      <w:r>
        <w:rPr>
          <w:sz w:val="24"/>
        </w:rPr>
        <w:t>calendar</w:t>
      </w:r>
      <w:r>
        <w:rPr>
          <w:spacing w:val="-10"/>
          <w:sz w:val="24"/>
        </w:rPr>
        <w:t xml:space="preserve"> </w:t>
      </w:r>
      <w:r>
        <w:rPr>
          <w:sz w:val="24"/>
        </w:rPr>
        <w:t>days</w:t>
      </w:r>
      <w:r>
        <w:rPr>
          <w:spacing w:val="-9"/>
          <w:sz w:val="24"/>
        </w:rPr>
        <w:t xml:space="preserve"> </w:t>
      </w:r>
      <w:r>
        <w:rPr>
          <w:sz w:val="24"/>
        </w:rPr>
        <w:t>after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end</w:t>
      </w:r>
      <w:r>
        <w:rPr>
          <w:spacing w:val="-10"/>
          <w:sz w:val="24"/>
        </w:rPr>
        <w:t xml:space="preserve"> </w:t>
      </w:r>
      <w:r>
        <w:rPr>
          <w:sz w:val="24"/>
        </w:rPr>
        <w:t>date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period of performance, all financial, performance, and other reports as required by the terms and conditions of the Federal award.</w:t>
      </w:r>
    </w:p>
    <w:p w14:paraId="0D515D63" w14:textId="77777777" w:rsidR="00E04AC8" w:rsidRDefault="00A810ED">
      <w:pPr>
        <w:pStyle w:val="ListParagraph"/>
        <w:numPr>
          <w:ilvl w:val="1"/>
          <w:numId w:val="2"/>
        </w:numPr>
        <w:tabs>
          <w:tab w:val="left" w:pos="813"/>
        </w:tabs>
        <w:ind w:left="813" w:hanging="337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approve</w:t>
      </w:r>
      <w:r>
        <w:rPr>
          <w:spacing w:val="-3"/>
          <w:sz w:val="24"/>
        </w:rPr>
        <w:t xml:space="preserve"> </w:t>
      </w:r>
      <w:r>
        <w:rPr>
          <w:sz w:val="24"/>
        </w:rPr>
        <w:t>extensions</w:t>
      </w:r>
      <w:r>
        <w:rPr>
          <w:spacing w:val="-1"/>
          <w:sz w:val="24"/>
        </w:rPr>
        <w:t xml:space="preserve"> </w:t>
      </w:r>
      <w:r>
        <w:rPr>
          <w:sz w:val="24"/>
        </w:rPr>
        <w:t>when requested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recipient.</w:t>
      </w:r>
    </w:p>
    <w:p w14:paraId="0D515D64" w14:textId="22021BDA" w:rsidR="00E04AC8" w:rsidRDefault="00A810ED">
      <w:pPr>
        <w:pStyle w:val="ListParagraph"/>
        <w:numPr>
          <w:ilvl w:val="0"/>
          <w:numId w:val="2"/>
        </w:numPr>
        <w:tabs>
          <w:tab w:val="left" w:pos="453"/>
        </w:tabs>
        <w:ind w:right="135" w:firstLine="0"/>
        <w:rPr>
          <w:sz w:val="24"/>
        </w:rPr>
      </w:pPr>
      <w:r>
        <w:rPr>
          <w:sz w:val="24"/>
        </w:rPr>
        <w:t>Unless</w:t>
      </w:r>
      <w:r>
        <w:rPr>
          <w:spacing w:val="-3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noted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extension,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recipients must comply with </w:t>
      </w:r>
      <w:hyperlink r:id="rId8" w:anchor="p-200.343(b)">
        <w:r>
          <w:rPr>
            <w:color w:val="0000FF"/>
            <w:sz w:val="24"/>
            <w:u w:val="single" w:color="0000FF"/>
          </w:rPr>
          <w:t>2 CFR 200.343(b)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and </w:t>
      </w:r>
      <w:hyperlink r:id="rId9">
        <w:r>
          <w:rPr>
            <w:color w:val="0000FF"/>
            <w:sz w:val="24"/>
            <w:u w:val="single" w:color="0000FF"/>
          </w:rPr>
          <w:t>2900.15</w:t>
        </w:r>
      </w:hyperlink>
      <w:r>
        <w:rPr>
          <w:color w:val="0000FF"/>
          <w:sz w:val="24"/>
        </w:rPr>
        <w:t xml:space="preserve"> </w:t>
      </w:r>
      <w:r w:rsidR="006F1A06">
        <w:rPr>
          <w:sz w:val="24"/>
        </w:rPr>
        <w:t>in regard to</w:t>
      </w:r>
      <w:r>
        <w:rPr>
          <w:sz w:val="24"/>
        </w:rPr>
        <w:t xml:space="preserve"> closeout.</w:t>
      </w:r>
    </w:p>
    <w:p w14:paraId="0D515D65" w14:textId="77777777" w:rsidR="00E04AC8" w:rsidRDefault="00A810ED">
      <w:pPr>
        <w:pStyle w:val="ListParagraph"/>
        <w:numPr>
          <w:ilvl w:val="0"/>
          <w:numId w:val="2"/>
        </w:numPr>
        <w:tabs>
          <w:tab w:val="left" w:pos="438"/>
        </w:tabs>
        <w:ind w:left="115" w:right="330" w:firstLine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prompt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allowable</w:t>
      </w:r>
      <w:r>
        <w:rPr>
          <w:spacing w:val="-4"/>
          <w:sz w:val="24"/>
        </w:rPr>
        <w:t xml:space="preserve"> </w:t>
      </w:r>
      <w:r>
        <w:rPr>
          <w:sz w:val="24"/>
        </w:rPr>
        <w:t>reimbursable costs under the Federal award being closed out.</w:t>
      </w:r>
    </w:p>
    <w:p w14:paraId="0D515D66" w14:textId="77777777" w:rsidR="00E04AC8" w:rsidRDefault="00A810ED">
      <w:pPr>
        <w:pStyle w:val="ListParagraph"/>
        <w:numPr>
          <w:ilvl w:val="0"/>
          <w:numId w:val="2"/>
        </w:numPr>
        <w:tabs>
          <w:tab w:val="left" w:pos="452"/>
        </w:tabs>
        <w:ind w:left="115" w:right="167" w:firstLine="0"/>
        <w:rPr>
          <w:sz w:val="24"/>
        </w:rPr>
      </w:pPr>
      <w:r>
        <w:rPr>
          <w:sz w:val="24"/>
        </w:rPr>
        <w:t>The grant recipient must promptly refund any balances of unobligated cash that the Department paid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advance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authorized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retained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grant recipient.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Management and Budget Circular A-129, </w:t>
      </w:r>
      <w:hyperlink r:id="rId10">
        <w:r>
          <w:rPr>
            <w:color w:val="0000FF"/>
            <w:sz w:val="24"/>
            <w:u w:val="single" w:color="0000FF"/>
          </w:rPr>
          <w:t>2 CFR 200.345</w:t>
        </w:r>
        <w:r>
          <w:rPr>
            <w:sz w:val="24"/>
          </w:rPr>
          <w:t>,</w:t>
        </w:r>
      </w:hyperlink>
      <w:r>
        <w:rPr>
          <w:sz w:val="24"/>
        </w:rPr>
        <w:t xml:space="preserve"> and </w:t>
      </w:r>
      <w:hyperlink r:id="rId11">
        <w:r>
          <w:rPr>
            <w:color w:val="0000FF"/>
            <w:sz w:val="24"/>
            <w:u w:val="single" w:color="0000FF"/>
          </w:rPr>
          <w:t>2 CFR Part 2900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for requirements regarding unreturned amounts that become delinquent debts.</w:t>
      </w:r>
    </w:p>
    <w:p w14:paraId="0D515D67" w14:textId="77777777" w:rsidR="00E04AC8" w:rsidRDefault="00A810ED">
      <w:pPr>
        <w:pStyle w:val="ListParagraph"/>
        <w:numPr>
          <w:ilvl w:val="0"/>
          <w:numId w:val="2"/>
        </w:numPr>
        <w:tabs>
          <w:tab w:val="left" w:pos="438"/>
        </w:tabs>
        <w:ind w:left="115" w:right="604" w:firstLine="0"/>
        <w:jc w:val="both"/>
        <w:rPr>
          <w:sz w:val="24"/>
        </w:rPr>
      </w:pPr>
      <w:r>
        <w:rPr>
          <w:sz w:val="24"/>
        </w:rPr>
        <w:t>Consistent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award,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a settlement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upward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downward</w:t>
      </w:r>
      <w:r>
        <w:rPr>
          <w:spacing w:val="-1"/>
          <w:sz w:val="24"/>
        </w:rPr>
        <w:t xml:space="preserve"> </w:t>
      </w:r>
      <w:r>
        <w:rPr>
          <w:sz w:val="24"/>
        </w:rPr>
        <w:t>adjustments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closeout reports are received.</w:t>
      </w:r>
    </w:p>
    <w:p w14:paraId="0D515D68" w14:textId="77777777" w:rsidR="00E04AC8" w:rsidRDefault="00A810ED">
      <w:pPr>
        <w:pStyle w:val="ListParagraph"/>
        <w:numPr>
          <w:ilvl w:val="0"/>
          <w:numId w:val="2"/>
        </w:numPr>
        <w:tabs>
          <w:tab w:val="left" w:pos="411"/>
        </w:tabs>
        <w:ind w:left="115" w:right="241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real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z w:val="24"/>
        </w:rPr>
        <w:t>acquired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funds or received from the Federal government in accordance with </w:t>
      </w:r>
      <w:hyperlink r:id="rId12">
        <w:r>
          <w:rPr>
            <w:color w:val="0000FF"/>
            <w:sz w:val="24"/>
            <w:u w:val="single" w:color="0000FF"/>
          </w:rPr>
          <w:t>2 CFR 200.310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through </w:t>
      </w:r>
      <w:hyperlink r:id="rId13">
        <w:r>
          <w:rPr>
            <w:color w:val="0000FF"/>
            <w:sz w:val="24"/>
            <w:u w:val="single" w:color="0000FF"/>
          </w:rPr>
          <w:t>200.316</w:t>
        </w:r>
      </w:hyperlink>
      <w:r>
        <w:rPr>
          <w:sz w:val="24"/>
        </w:rPr>
        <w:t xml:space="preserve">, and </w:t>
      </w:r>
      <w:hyperlink r:id="rId14">
        <w:r>
          <w:rPr>
            <w:color w:val="0000FF"/>
            <w:spacing w:val="-2"/>
            <w:sz w:val="24"/>
            <w:u w:val="single" w:color="0000FF"/>
          </w:rPr>
          <w:t>200.329</w:t>
        </w:r>
        <w:r>
          <w:rPr>
            <w:spacing w:val="-2"/>
            <w:sz w:val="24"/>
          </w:rPr>
          <w:t>.</w:t>
        </w:r>
      </w:hyperlink>
    </w:p>
    <w:p w14:paraId="0D515D69" w14:textId="77777777" w:rsidR="00E04AC8" w:rsidRDefault="00A810ED">
      <w:pPr>
        <w:pStyle w:val="ListParagraph"/>
        <w:numPr>
          <w:ilvl w:val="0"/>
          <w:numId w:val="2"/>
        </w:numPr>
        <w:tabs>
          <w:tab w:val="left" w:pos="452"/>
        </w:tabs>
        <w:ind w:left="115" w:right="545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closeout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awards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year after receipt and acceptance of all required final reports.</w:t>
      </w:r>
    </w:p>
    <w:p w14:paraId="0D515D6A" w14:textId="77777777" w:rsidR="00E04AC8" w:rsidRDefault="00A810ED">
      <w:pPr>
        <w:pStyle w:val="ListParagraph"/>
        <w:numPr>
          <w:ilvl w:val="0"/>
          <w:numId w:val="2"/>
        </w:numPr>
        <w:tabs>
          <w:tab w:val="left" w:pos="453"/>
        </w:tabs>
        <w:ind w:left="453" w:hanging="337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closeout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 award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affect any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following:</w:t>
      </w:r>
    </w:p>
    <w:p w14:paraId="0D515D6B" w14:textId="77777777" w:rsidR="00E04AC8" w:rsidRDefault="00A810ED">
      <w:pPr>
        <w:pStyle w:val="ListParagraph"/>
        <w:numPr>
          <w:ilvl w:val="1"/>
          <w:numId w:val="2"/>
        </w:numPr>
        <w:tabs>
          <w:tab w:val="left" w:pos="813"/>
        </w:tabs>
        <w:ind w:right="287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disallow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recover</w:t>
      </w:r>
      <w:r>
        <w:rPr>
          <w:spacing w:val="-3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later</w:t>
      </w:r>
      <w:r>
        <w:rPr>
          <w:spacing w:val="-1"/>
          <w:sz w:val="24"/>
        </w:rPr>
        <w:t xml:space="preserve"> </w:t>
      </w:r>
      <w:r>
        <w:rPr>
          <w:sz w:val="24"/>
        </w:rPr>
        <w:t>audit or other review.</w:t>
      </w:r>
    </w:p>
    <w:p w14:paraId="0D515D6C" w14:textId="77777777" w:rsidR="00E04AC8" w:rsidRDefault="00A810ED">
      <w:pPr>
        <w:pStyle w:val="ListParagraph"/>
        <w:numPr>
          <w:ilvl w:val="1"/>
          <w:numId w:val="2"/>
        </w:numPr>
        <w:tabs>
          <w:tab w:val="left" w:pos="812"/>
        </w:tabs>
        <w:ind w:left="475" w:right="699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obligation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return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later</w:t>
      </w:r>
      <w:r>
        <w:rPr>
          <w:spacing w:val="-3"/>
          <w:sz w:val="24"/>
        </w:rPr>
        <w:t xml:space="preserve"> </w:t>
      </w:r>
      <w:r>
        <w:rPr>
          <w:sz w:val="24"/>
        </w:rPr>
        <w:t>refunds, corrections, or other transactions.</w:t>
      </w:r>
    </w:p>
    <w:p w14:paraId="0D515D6D" w14:textId="77777777" w:rsidR="00E04AC8" w:rsidRDefault="00A810ED">
      <w:pPr>
        <w:pStyle w:val="ListParagraph"/>
        <w:numPr>
          <w:ilvl w:val="1"/>
          <w:numId w:val="2"/>
        </w:numPr>
        <w:tabs>
          <w:tab w:val="left" w:pos="812"/>
        </w:tabs>
        <w:ind w:left="812" w:hanging="337"/>
        <w:rPr>
          <w:sz w:val="24"/>
        </w:rPr>
      </w:pPr>
      <w:r>
        <w:rPr>
          <w:sz w:val="24"/>
        </w:rPr>
        <w:t>Audit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2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CFR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Part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200,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subpart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pacing w:val="-5"/>
            <w:sz w:val="24"/>
            <w:u w:val="single" w:color="0000FF"/>
          </w:rPr>
          <w:t>F</w:t>
        </w:r>
        <w:r>
          <w:rPr>
            <w:spacing w:val="-5"/>
            <w:sz w:val="24"/>
          </w:rPr>
          <w:t>.</w:t>
        </w:r>
      </w:hyperlink>
    </w:p>
    <w:p w14:paraId="0D515D6E" w14:textId="77777777" w:rsidR="00E04AC8" w:rsidRDefault="00A810ED">
      <w:pPr>
        <w:pStyle w:val="ListParagraph"/>
        <w:numPr>
          <w:ilvl w:val="1"/>
          <w:numId w:val="2"/>
        </w:numPr>
        <w:tabs>
          <w:tab w:val="left" w:pos="812"/>
        </w:tabs>
        <w:ind w:left="812" w:hanging="337"/>
        <w:rPr>
          <w:sz w:val="24"/>
        </w:rPr>
      </w:pP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2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CFR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200.310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hyperlink r:id="rId17">
        <w:r>
          <w:rPr>
            <w:color w:val="0000FF"/>
            <w:spacing w:val="-2"/>
            <w:sz w:val="24"/>
            <w:u w:val="single" w:color="0000FF"/>
          </w:rPr>
          <w:t>200.316</w:t>
        </w:r>
      </w:hyperlink>
      <w:r>
        <w:rPr>
          <w:spacing w:val="-2"/>
          <w:sz w:val="24"/>
        </w:rPr>
        <w:t>.</w:t>
      </w:r>
    </w:p>
    <w:p w14:paraId="0D515D6F" w14:textId="77777777" w:rsidR="00E04AC8" w:rsidRDefault="00A810ED">
      <w:pPr>
        <w:pStyle w:val="ListParagraph"/>
        <w:numPr>
          <w:ilvl w:val="1"/>
          <w:numId w:val="2"/>
        </w:numPr>
        <w:tabs>
          <w:tab w:val="left" w:pos="812"/>
        </w:tabs>
        <w:spacing w:before="1"/>
        <w:ind w:left="812" w:hanging="337"/>
        <w:rPr>
          <w:sz w:val="24"/>
        </w:rPr>
      </w:pP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retention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2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CFR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200.333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hyperlink r:id="rId19">
        <w:r>
          <w:rPr>
            <w:color w:val="0000FF"/>
            <w:spacing w:val="-2"/>
            <w:sz w:val="24"/>
            <w:u w:val="single" w:color="0000FF"/>
          </w:rPr>
          <w:t>200.337</w:t>
        </w:r>
        <w:r>
          <w:rPr>
            <w:spacing w:val="-2"/>
            <w:sz w:val="24"/>
          </w:rPr>
          <w:t>.</w:t>
        </w:r>
      </w:hyperlink>
    </w:p>
    <w:p w14:paraId="0D515D70" w14:textId="77777777" w:rsidR="00E04AC8" w:rsidRDefault="00A810ED">
      <w:pPr>
        <w:pStyle w:val="ListParagraph"/>
        <w:numPr>
          <w:ilvl w:val="0"/>
          <w:numId w:val="2"/>
        </w:numPr>
        <w:tabs>
          <w:tab w:val="left" w:pos="399"/>
        </w:tabs>
        <w:ind w:left="115" w:right="236" w:firstLine="0"/>
        <w:rPr>
          <w:sz w:val="24"/>
        </w:rPr>
      </w:pPr>
      <w:r>
        <w:rPr>
          <w:sz w:val="24"/>
        </w:rPr>
        <w:t>After closeout of an award, a relationship created under the award may be modified or ended in whole or in part with the consent of the Department and the grant recipient, provided the responsibilities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3"/>
          <w:sz w:val="24"/>
        </w:rPr>
        <w:t xml:space="preserve"> </w:t>
      </w:r>
      <w:r>
        <w:rPr>
          <w:sz w:val="24"/>
        </w:rPr>
        <w:t>referred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hyperlink r:id="rId20" w:anchor="p-200.344(a)">
        <w:r>
          <w:rPr>
            <w:color w:val="0000FF"/>
            <w:sz w:val="24"/>
            <w:u w:val="single" w:color="0000FF"/>
          </w:rPr>
          <w:t>2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CFR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200.344(a)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200.310</w:t>
        </w:r>
      </w:hyperlink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200.316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are considered, and provisions are made for continuing responsibilities of the grant recipient, as </w:t>
      </w:r>
      <w:r>
        <w:rPr>
          <w:spacing w:val="-2"/>
          <w:sz w:val="24"/>
        </w:rPr>
        <w:t>appropriate.</w:t>
      </w:r>
    </w:p>
    <w:p w14:paraId="0D515D71" w14:textId="77777777" w:rsidR="00E04AC8" w:rsidRDefault="00A810ED">
      <w:pPr>
        <w:pStyle w:val="ListParagraph"/>
        <w:numPr>
          <w:ilvl w:val="0"/>
          <w:numId w:val="2"/>
        </w:numPr>
        <w:tabs>
          <w:tab w:val="left" w:pos="399"/>
        </w:tabs>
        <w:ind w:left="115" w:right="155" w:firstLine="0"/>
        <w:rPr>
          <w:sz w:val="24"/>
        </w:rPr>
      </w:pP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recipients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WIOA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subrecipients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institute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closeout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process after the end of performance to ensure a timely closeout in accordance with </w:t>
      </w:r>
      <w:hyperlink r:id="rId23">
        <w:r>
          <w:rPr>
            <w:color w:val="0000FF"/>
            <w:sz w:val="24"/>
            <w:u w:val="single" w:color="0000FF"/>
          </w:rPr>
          <w:t>2 CFR 200.343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and </w:t>
      </w:r>
      <w:hyperlink r:id="rId24">
        <w:r>
          <w:rPr>
            <w:color w:val="0000FF"/>
            <w:spacing w:val="-2"/>
            <w:sz w:val="24"/>
            <w:u w:val="single" w:color="0000FF"/>
          </w:rPr>
          <w:t>200.344</w:t>
        </w:r>
        <w:r>
          <w:rPr>
            <w:spacing w:val="-2"/>
            <w:sz w:val="24"/>
          </w:rPr>
          <w:t>.</w:t>
        </w:r>
      </w:hyperlink>
    </w:p>
    <w:p w14:paraId="0D515D72" w14:textId="77777777" w:rsidR="00E04AC8" w:rsidRDefault="00E04AC8">
      <w:pPr>
        <w:pStyle w:val="BodyText"/>
        <w:ind w:left="0"/>
      </w:pPr>
    </w:p>
    <w:p w14:paraId="0D515D73" w14:textId="77777777" w:rsidR="00E04AC8" w:rsidRDefault="00A810ED">
      <w:pPr>
        <w:ind w:left="116" w:right="109"/>
        <w:jc w:val="both"/>
        <w:rPr>
          <w:b/>
          <w:i/>
          <w:sz w:val="24"/>
        </w:rPr>
      </w:pPr>
      <w:r>
        <w:rPr>
          <w:b/>
          <w:sz w:val="24"/>
        </w:rPr>
        <w:t xml:space="preserve">Note: </w:t>
      </w:r>
      <w:r>
        <w:rPr>
          <w:b/>
          <w:i/>
          <w:sz w:val="24"/>
        </w:rPr>
        <w:t>Local Boards must have closeout policies that relate to their subawards.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Local Boards should contact the State immediately if any problems/issues arise subsequent to closeout for a resolution directive to be prescribed that will minimize the effort required to resolve them.</w:t>
      </w:r>
    </w:p>
    <w:p w14:paraId="0D515D74" w14:textId="77777777" w:rsidR="00E04AC8" w:rsidRDefault="00E04AC8">
      <w:pPr>
        <w:jc w:val="both"/>
        <w:rPr>
          <w:sz w:val="24"/>
        </w:rPr>
        <w:sectPr w:rsidR="00E04AC8">
          <w:pgSz w:w="12240" w:h="15840"/>
          <w:pgMar w:top="1220" w:right="1180" w:bottom="2660" w:left="1180" w:header="0" w:footer="2473" w:gutter="0"/>
          <w:cols w:space="720"/>
        </w:sectPr>
      </w:pPr>
    </w:p>
    <w:p w14:paraId="0D515D75" w14:textId="492AF4F0" w:rsidR="00E04AC8" w:rsidRDefault="00A810ED">
      <w:pPr>
        <w:pStyle w:val="BodyText"/>
        <w:spacing w:before="71"/>
        <w:ind w:right="110"/>
        <w:jc w:val="both"/>
      </w:pPr>
      <w:r>
        <w:lastRenderedPageBreak/>
        <w:t>Local Board contract(s) may include one or more funding sources and/or program year funding. Closeout</w:t>
      </w:r>
      <w:r>
        <w:rPr>
          <w:spacing w:val="-1"/>
        </w:rPr>
        <w:t xml:space="preserve"> </w:t>
      </w:r>
      <w:r>
        <w:t>packages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reflect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dollar</w:t>
      </w:r>
      <w:r>
        <w:rPr>
          <w:spacing w:val="-2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contracts</w:t>
      </w:r>
      <w:r>
        <w:rPr>
          <w:spacing w:val="-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funding source or program year. DETR/Financial Management (FM) will be responsible for submitting the State closeout package to DOL, which will be </w:t>
      </w:r>
      <w:r w:rsidR="00C6490D">
        <w:t>separated</w:t>
      </w:r>
      <w:r>
        <w:t xml:space="preserve"> by year of appropriation as required.</w:t>
      </w:r>
    </w:p>
    <w:p w14:paraId="0D515D76" w14:textId="5D2DB22E" w:rsidR="00E04AC8" w:rsidRDefault="00A810ED">
      <w:pPr>
        <w:spacing w:before="199"/>
        <w:ind w:left="115" w:right="111"/>
        <w:jc w:val="both"/>
        <w:rPr>
          <w:sz w:val="24"/>
        </w:rPr>
      </w:pPr>
      <w:r>
        <w:rPr>
          <w:b/>
          <w:sz w:val="24"/>
        </w:rPr>
        <w:t xml:space="preserve">Contract Closeout Package: </w:t>
      </w:r>
      <w:r>
        <w:rPr>
          <w:sz w:val="24"/>
        </w:rPr>
        <w:t>The package must include the following four (4) reports, signed and electronically sent to W</w:t>
      </w:r>
      <w:r w:rsidR="00D73B06">
        <w:rPr>
          <w:sz w:val="24"/>
        </w:rPr>
        <w:t>orkforce Programs</w:t>
      </w:r>
      <w:r>
        <w:rPr>
          <w:sz w:val="24"/>
        </w:rPr>
        <w:t>:</w:t>
      </w:r>
    </w:p>
    <w:p w14:paraId="0D515D77" w14:textId="77777777" w:rsidR="00E04AC8" w:rsidRDefault="00A810ED">
      <w:pPr>
        <w:pStyle w:val="ListParagraph"/>
        <w:numPr>
          <w:ilvl w:val="0"/>
          <w:numId w:val="1"/>
        </w:numPr>
        <w:tabs>
          <w:tab w:val="left" w:pos="835"/>
        </w:tabs>
        <w:ind w:left="835" w:right="113"/>
        <w:jc w:val="both"/>
        <w:rPr>
          <w:sz w:val="24"/>
        </w:rPr>
      </w:pPr>
      <w:r>
        <w:rPr>
          <w:sz w:val="24"/>
        </w:rPr>
        <w:t>Grantee’s Release (Form F-201):</w:t>
      </w:r>
      <w:r>
        <w:rPr>
          <w:spacing w:val="40"/>
          <w:sz w:val="24"/>
        </w:rPr>
        <w:t xml:space="preserve"> </w:t>
      </w:r>
      <w:r>
        <w:rPr>
          <w:sz w:val="24"/>
        </w:rPr>
        <w:t>this form certifies the release of the grantor agency from further monetary obligations under the grant.</w:t>
      </w:r>
      <w:r>
        <w:rPr>
          <w:spacing w:val="40"/>
          <w:sz w:val="24"/>
        </w:rPr>
        <w:t xml:space="preserve"> </w:t>
      </w:r>
      <w:r>
        <w:rPr>
          <w:sz w:val="24"/>
        </w:rPr>
        <w:t>Certain specific identified claims such as unclaimed wages (subject to Escheat Laws), Workers’ Compensation claims, or other outstanding claims must be identified, and the list attached to the grantee’s release.</w:t>
      </w:r>
    </w:p>
    <w:p w14:paraId="0D515D78" w14:textId="77777777" w:rsidR="00E04AC8" w:rsidRDefault="00A810ED">
      <w:pPr>
        <w:pStyle w:val="ListParagraph"/>
        <w:numPr>
          <w:ilvl w:val="0"/>
          <w:numId w:val="1"/>
        </w:numPr>
        <w:tabs>
          <w:tab w:val="left" w:pos="807"/>
          <w:tab w:val="left" w:pos="836"/>
        </w:tabs>
        <w:ind w:right="115"/>
        <w:rPr>
          <w:sz w:val="24"/>
        </w:rPr>
      </w:pPr>
      <w:r>
        <w:rPr>
          <w:sz w:val="24"/>
        </w:rPr>
        <w:t>Grantee’s Assignment of Refunds, Rebates and Credits (Form F-202): this form waives grantee’s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claim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for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refunds,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rebates,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credits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received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after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grant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has terminated and assures prompt remittance to the grantor.</w:t>
      </w:r>
    </w:p>
    <w:p w14:paraId="0D515D79" w14:textId="77777777" w:rsidR="00E04AC8" w:rsidRDefault="00A810ED">
      <w:pPr>
        <w:pStyle w:val="ListParagraph"/>
        <w:numPr>
          <w:ilvl w:val="0"/>
          <w:numId w:val="1"/>
        </w:numPr>
        <w:tabs>
          <w:tab w:val="left" w:pos="836"/>
        </w:tabs>
        <w:ind w:right="115"/>
        <w:rPr>
          <w:sz w:val="24"/>
        </w:rPr>
      </w:pPr>
      <w:r>
        <w:rPr>
          <w:sz w:val="24"/>
        </w:rPr>
        <w:t>Grantee’s Closeout Tax Certification (Form F-203):</w:t>
      </w:r>
      <w:r>
        <w:rPr>
          <w:spacing w:val="80"/>
          <w:sz w:val="24"/>
        </w:rPr>
        <w:t xml:space="preserve"> </w:t>
      </w:r>
      <w:r>
        <w:rPr>
          <w:sz w:val="24"/>
        </w:rPr>
        <w:t>this form provides assurances that the grantee/subgrantee has complied with all applicable tax requirements.</w:t>
      </w:r>
    </w:p>
    <w:p w14:paraId="0D515D7A" w14:textId="77777777" w:rsidR="00E04AC8" w:rsidRDefault="00A810ED">
      <w:pPr>
        <w:pStyle w:val="ListParagraph"/>
        <w:numPr>
          <w:ilvl w:val="0"/>
          <w:numId w:val="1"/>
        </w:numPr>
        <w:tabs>
          <w:tab w:val="left" w:pos="835"/>
        </w:tabs>
        <w:ind w:left="835" w:right="113"/>
        <w:jc w:val="both"/>
        <w:rPr>
          <w:sz w:val="24"/>
        </w:rPr>
      </w:pPr>
      <w:r>
        <w:rPr>
          <w:sz w:val="24"/>
        </w:rPr>
        <w:t>Final Inventory Certificate (Form F-204): this form provides an inventory of all property purchases</w:t>
      </w:r>
      <w:r>
        <w:rPr>
          <w:spacing w:val="-12"/>
          <w:sz w:val="24"/>
        </w:rPr>
        <w:t xml:space="preserve"> </w:t>
      </w:r>
      <w:r>
        <w:rPr>
          <w:sz w:val="24"/>
        </w:rPr>
        <w:t>where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DOL</w:t>
      </w:r>
      <w:r>
        <w:rPr>
          <w:spacing w:val="-12"/>
          <w:sz w:val="24"/>
        </w:rPr>
        <w:t xml:space="preserve"> </w:t>
      </w:r>
      <w:r>
        <w:rPr>
          <w:sz w:val="24"/>
        </w:rPr>
        <w:t>reserves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right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take</w:t>
      </w:r>
      <w:r>
        <w:rPr>
          <w:spacing w:val="-13"/>
          <w:sz w:val="24"/>
        </w:rPr>
        <w:t xml:space="preserve"> </w:t>
      </w:r>
      <w:r>
        <w:rPr>
          <w:sz w:val="24"/>
        </w:rPr>
        <w:t>title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z w:val="24"/>
        </w:rPr>
        <w:t>such</w:t>
      </w:r>
      <w:r>
        <w:rPr>
          <w:spacing w:val="-12"/>
          <w:sz w:val="24"/>
        </w:rPr>
        <w:t xml:space="preserve"> </w:t>
      </w:r>
      <w:r>
        <w:rPr>
          <w:sz w:val="24"/>
        </w:rPr>
        <w:t>property was acquired with funds from the grant.</w:t>
      </w:r>
    </w:p>
    <w:p w14:paraId="0D515D7B" w14:textId="271B053C" w:rsidR="00E04AC8" w:rsidRDefault="00A810ED">
      <w:pPr>
        <w:spacing w:before="274"/>
        <w:ind w:left="115" w:right="111"/>
        <w:jc w:val="both"/>
        <w:rPr>
          <w:b/>
          <w:i/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final</w:t>
      </w:r>
      <w:r>
        <w:rPr>
          <w:spacing w:val="-7"/>
          <w:sz w:val="24"/>
        </w:rPr>
        <w:t xml:space="preserve"> </w:t>
      </w:r>
      <w:r>
        <w:rPr>
          <w:sz w:val="24"/>
        </w:rPr>
        <w:t>request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sent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separately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 w:rsidR="00D73B06">
        <w:rPr>
          <w:sz w:val="24"/>
        </w:rPr>
        <w:t>orkforce Programs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Both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closeout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package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final</w:t>
      </w:r>
      <w:r>
        <w:rPr>
          <w:b/>
          <w:i/>
          <w:sz w:val="24"/>
        </w:rPr>
        <w:t xml:space="preserve"> request for reimbursement must be submitted to W</w:t>
      </w:r>
      <w:r w:rsidR="00D73B06">
        <w:rPr>
          <w:b/>
          <w:i/>
          <w:sz w:val="24"/>
        </w:rPr>
        <w:t>orkforce Programs</w:t>
      </w:r>
      <w:r>
        <w:rPr>
          <w:b/>
          <w:i/>
          <w:sz w:val="24"/>
        </w:rPr>
        <w:t xml:space="preserve"> within 90 days of the contract end date.</w:t>
      </w:r>
    </w:p>
    <w:p w14:paraId="0D515D7C" w14:textId="77777777" w:rsidR="00E04AC8" w:rsidRDefault="00E04AC8">
      <w:pPr>
        <w:pStyle w:val="BodyText"/>
        <w:ind w:left="0"/>
        <w:rPr>
          <w:b/>
          <w:i/>
        </w:rPr>
      </w:pPr>
    </w:p>
    <w:p w14:paraId="0D515D7D" w14:textId="77777777" w:rsidR="00E04AC8" w:rsidRDefault="00A810ED">
      <w:pPr>
        <w:pStyle w:val="BodyText"/>
        <w:ind w:left="116" w:right="113"/>
        <w:jc w:val="both"/>
      </w:pPr>
      <w:r>
        <w:t>If</w:t>
      </w:r>
      <w:r>
        <w:rPr>
          <w:spacing w:val="-8"/>
        </w:rPr>
        <w:t xml:space="preserve"> </w:t>
      </w:r>
      <w:r>
        <w:t>allowable</w:t>
      </w:r>
      <w:r>
        <w:rPr>
          <w:spacing w:val="-6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incurred</w:t>
      </w:r>
      <w:r>
        <w:rPr>
          <w:spacing w:val="-7"/>
        </w:rPr>
        <w:t xml:space="preserve"> </w:t>
      </w:r>
      <w:r>
        <w:t>exceed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payments</w:t>
      </w:r>
      <w:r>
        <w:rPr>
          <w:spacing w:val="-7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State,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Board payable to DETR if payments exceed the allowable costs incurred.</w:t>
      </w:r>
    </w:p>
    <w:p w14:paraId="0D515D7E" w14:textId="77777777" w:rsidR="00E04AC8" w:rsidRDefault="00E04AC8">
      <w:pPr>
        <w:pStyle w:val="BodyText"/>
        <w:ind w:left="0"/>
      </w:pPr>
    </w:p>
    <w:p w14:paraId="0D515D7F" w14:textId="77777777" w:rsidR="00E04AC8" w:rsidRDefault="00A810ED">
      <w:pPr>
        <w:pStyle w:val="Heading1"/>
      </w:pPr>
      <w:r>
        <w:rPr>
          <w:u w:val="single"/>
        </w:rPr>
        <w:t>Special</w:t>
      </w:r>
      <w:r>
        <w:rPr>
          <w:spacing w:val="-4"/>
          <w:u w:val="single"/>
        </w:rPr>
        <w:t xml:space="preserve"> </w:t>
      </w:r>
      <w:r>
        <w:rPr>
          <w:u w:val="single"/>
        </w:rPr>
        <w:t>Bank</w:t>
      </w:r>
      <w:r>
        <w:rPr>
          <w:spacing w:val="-2"/>
          <w:u w:val="single"/>
        </w:rPr>
        <w:t xml:space="preserve"> </w:t>
      </w:r>
      <w:r>
        <w:rPr>
          <w:u w:val="single"/>
        </w:rPr>
        <w:t>or</w:t>
      </w:r>
      <w:r>
        <w:rPr>
          <w:spacing w:val="-2"/>
          <w:u w:val="single"/>
        </w:rPr>
        <w:t xml:space="preserve"> </w:t>
      </w:r>
      <w:r>
        <w:rPr>
          <w:u w:val="single"/>
        </w:rPr>
        <w:t>Financial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Account:</w:t>
      </w:r>
    </w:p>
    <w:p w14:paraId="0D515D80" w14:textId="77777777" w:rsidR="00E04AC8" w:rsidRDefault="00A810ED">
      <w:pPr>
        <w:pStyle w:val="BodyText"/>
        <w:ind w:left="116" w:right="111"/>
        <w:jc w:val="both"/>
      </w:pPr>
      <w:r>
        <w:t>Local Boards and subrecipients with special bank accounts established in accordance with the grant must close out these accounts.</w:t>
      </w:r>
      <w:r>
        <w:rPr>
          <w:spacing w:val="40"/>
        </w:rPr>
        <w:t xml:space="preserve"> </w:t>
      </w:r>
      <w:r>
        <w:t>A bank or financial statement reflecting a zero balance must be included with the closeout forms.</w:t>
      </w:r>
    </w:p>
    <w:p w14:paraId="0D515D81" w14:textId="77777777" w:rsidR="00E04AC8" w:rsidRDefault="00E04AC8">
      <w:pPr>
        <w:pStyle w:val="BodyText"/>
        <w:ind w:left="0"/>
      </w:pPr>
    </w:p>
    <w:p w14:paraId="0D515D82" w14:textId="77777777" w:rsidR="00E04AC8" w:rsidRDefault="00A810ED">
      <w:pPr>
        <w:ind w:left="115"/>
        <w:jc w:val="both"/>
        <w:rPr>
          <w:sz w:val="24"/>
        </w:rPr>
      </w:pPr>
      <w:r>
        <w:rPr>
          <w:b/>
          <w:sz w:val="24"/>
          <w:u w:val="single"/>
        </w:rPr>
        <w:t>After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Closeout: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§§</w:t>
      </w:r>
      <w:r>
        <w:rPr>
          <w:spacing w:val="-1"/>
          <w:sz w:val="24"/>
        </w:rPr>
        <w:t xml:space="preserve"> </w:t>
      </w:r>
      <w:r>
        <w:rPr>
          <w:sz w:val="24"/>
        </w:rPr>
        <w:t>200.333-</w:t>
      </w:r>
      <w:r>
        <w:rPr>
          <w:spacing w:val="-4"/>
          <w:sz w:val="24"/>
        </w:rPr>
        <w:t>337)</w:t>
      </w:r>
    </w:p>
    <w:p w14:paraId="0D515D83" w14:textId="77777777" w:rsidR="00E04AC8" w:rsidRDefault="00A810ED">
      <w:pPr>
        <w:pStyle w:val="BodyText"/>
        <w:ind w:right="111"/>
        <w:jc w:val="both"/>
      </w:pPr>
      <w:r>
        <w:t>Records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retained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(3)</w:t>
      </w:r>
      <w:r>
        <w:rPr>
          <w:spacing w:val="-7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expenditure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period, if not submitted for negotiations. If submitted for negotiations records must be kept until complete. Records for non-expendable property must be retained for a period of three (3) years after final disposition of the property.</w:t>
      </w:r>
    </w:p>
    <w:p w14:paraId="0D515D84" w14:textId="77777777" w:rsidR="00E04AC8" w:rsidRDefault="00E04AC8">
      <w:pPr>
        <w:pStyle w:val="BodyText"/>
        <w:ind w:left="0"/>
      </w:pPr>
    </w:p>
    <w:p w14:paraId="0D515D85" w14:textId="62A17702" w:rsidR="00E04AC8" w:rsidRDefault="00A810ED">
      <w:pPr>
        <w:pStyle w:val="BodyText"/>
        <w:ind w:right="112"/>
        <w:jc w:val="both"/>
      </w:pPr>
      <w:r>
        <w:t xml:space="preserve">The LWDB is responsible </w:t>
      </w:r>
      <w:r w:rsidR="00D73B06">
        <w:t>for returning</w:t>
      </w:r>
      <w:r>
        <w:t xml:space="preserve"> any funds due because of later refunds, corrections, audit disallowances, or other transactions.</w:t>
      </w:r>
    </w:p>
    <w:sectPr w:rsidR="00E04AC8">
      <w:pgSz w:w="12240" w:h="15840"/>
      <w:pgMar w:top="1500" w:right="1180" w:bottom="2660" w:left="1180" w:header="0" w:footer="24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65DE" w14:textId="77777777" w:rsidR="00A810ED" w:rsidRDefault="00A810ED">
      <w:r>
        <w:separator/>
      </w:r>
    </w:p>
  </w:endnote>
  <w:endnote w:type="continuationSeparator" w:id="0">
    <w:p w14:paraId="168EC84E" w14:textId="77777777" w:rsidR="00A810ED" w:rsidRDefault="00A8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5D86" w14:textId="77777777" w:rsidR="00E04AC8" w:rsidRDefault="00A810E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0D515D87" wp14:editId="0D515D88">
              <wp:simplePos x="0" y="0"/>
              <wp:positionH relativeFrom="page">
                <wp:posOffset>810259</wp:posOffset>
              </wp:positionH>
              <wp:positionV relativeFrom="page">
                <wp:posOffset>8348217</wp:posOffset>
              </wp:positionV>
              <wp:extent cx="1824989" cy="678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4989" cy="678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15D89" w14:textId="263BBE4F" w:rsidR="00E04AC8" w:rsidRDefault="00A810ED">
                          <w:pPr>
                            <w:spacing w:before="12" w:line="207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DETR/ESD/</w:t>
                          </w:r>
                          <w:r w:rsidR="00D73B06">
                            <w:rPr>
                              <w:spacing w:val="-2"/>
                              <w:sz w:val="18"/>
                            </w:rPr>
                            <w:t>Workforce Programs</w:t>
                          </w:r>
                        </w:p>
                        <w:p w14:paraId="0D515D8A" w14:textId="77777777" w:rsidR="00E04AC8" w:rsidRDefault="00A810ED">
                          <w:pPr>
                            <w:spacing w:line="206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WIOA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State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Compliance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Policies</w:t>
                          </w:r>
                        </w:p>
                        <w:p w14:paraId="0D515D8B" w14:textId="77777777" w:rsidR="00E04AC8" w:rsidRDefault="00A810ED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SCP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3.5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Contract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or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Subgrant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Closeout July 2024</w:t>
                          </w:r>
                        </w:p>
                        <w:p w14:paraId="0D515D8C" w14:textId="77777777" w:rsidR="00E04AC8" w:rsidRDefault="00A810ED">
                          <w:pPr>
                            <w:spacing w:before="1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15D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3.8pt;margin-top:657.35pt;width:143.7pt;height:53.4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" filled="f" stroked="f">
              <v:textbox inset="0,0,0,0">
                <w:txbxContent>
                  <w:p w14:paraId="0D515D89" w14:textId="263BBE4F" w:rsidR="00E04AC8" w:rsidRDefault="00A810ED">
                    <w:pPr>
                      <w:spacing w:before="12" w:line="207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DETR/ESD/</w:t>
                    </w:r>
                    <w:r w:rsidR="00D73B06">
                      <w:rPr>
                        <w:spacing w:val="-2"/>
                        <w:sz w:val="18"/>
                      </w:rPr>
                      <w:t>Workforce Programs</w:t>
                    </w:r>
                  </w:p>
                  <w:p w14:paraId="0D515D8A" w14:textId="77777777" w:rsidR="00E04AC8" w:rsidRDefault="00A810ED">
                    <w:pPr>
                      <w:spacing w:line="206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WIOA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State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Compliance</w:t>
                    </w:r>
                    <w:r>
                      <w:rPr>
                        <w:spacing w:val="-2"/>
                        <w:sz w:val="18"/>
                      </w:rPr>
                      <w:t xml:space="preserve"> Policies</w:t>
                    </w:r>
                  </w:p>
                  <w:p w14:paraId="0D515D8B" w14:textId="77777777" w:rsidR="00E04AC8" w:rsidRDefault="00A810ED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SCP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3.5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Contract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or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Subgrant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Closeout July 2024</w:t>
                    </w:r>
                  </w:p>
                  <w:p w14:paraId="0D515D8C" w14:textId="77777777" w:rsidR="00E04AC8" w:rsidRDefault="00A810ED">
                    <w:pPr>
                      <w:spacing w:before="1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3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C8AE8" w14:textId="77777777" w:rsidR="00A810ED" w:rsidRDefault="00A810ED">
      <w:r>
        <w:separator/>
      </w:r>
    </w:p>
  </w:footnote>
  <w:footnote w:type="continuationSeparator" w:id="0">
    <w:p w14:paraId="78139311" w14:textId="77777777" w:rsidR="00A810ED" w:rsidRDefault="00A81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4D38"/>
    <w:multiLevelType w:val="hybridMultilevel"/>
    <w:tmpl w:val="2436ACD0"/>
    <w:lvl w:ilvl="0" w:tplc="1AD6DDE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A47686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6D5AA79A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4A54104E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F5C08A3E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F65270F6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E7426A6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9E580714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D4486B9C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7D02D2"/>
    <w:multiLevelType w:val="hybridMultilevel"/>
    <w:tmpl w:val="DA962C16"/>
    <w:lvl w:ilvl="0" w:tplc="B33E0000">
      <w:start w:val="1"/>
      <w:numFmt w:val="lowerLetter"/>
      <w:lvlText w:val="(%1)"/>
      <w:lvlJc w:val="left"/>
      <w:pPr>
        <w:ind w:left="116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C7AEAA8">
      <w:start w:val="1"/>
      <w:numFmt w:val="decimal"/>
      <w:lvlText w:val="(%2)"/>
      <w:lvlJc w:val="left"/>
      <w:pPr>
        <w:ind w:left="47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8A93CE">
      <w:numFmt w:val="bullet"/>
      <w:lvlText w:val="•"/>
      <w:lvlJc w:val="left"/>
      <w:pPr>
        <w:ind w:left="1524" w:hanging="332"/>
      </w:pPr>
      <w:rPr>
        <w:rFonts w:hint="default"/>
        <w:lang w:val="en-US" w:eastAsia="en-US" w:bidi="ar-SA"/>
      </w:rPr>
    </w:lvl>
    <w:lvl w:ilvl="3" w:tplc="EB5A9570">
      <w:numFmt w:val="bullet"/>
      <w:lvlText w:val="•"/>
      <w:lvlJc w:val="left"/>
      <w:pPr>
        <w:ind w:left="2568" w:hanging="332"/>
      </w:pPr>
      <w:rPr>
        <w:rFonts w:hint="default"/>
        <w:lang w:val="en-US" w:eastAsia="en-US" w:bidi="ar-SA"/>
      </w:rPr>
    </w:lvl>
    <w:lvl w:ilvl="4" w:tplc="4E603F12">
      <w:numFmt w:val="bullet"/>
      <w:lvlText w:val="•"/>
      <w:lvlJc w:val="left"/>
      <w:pPr>
        <w:ind w:left="3613" w:hanging="332"/>
      </w:pPr>
      <w:rPr>
        <w:rFonts w:hint="default"/>
        <w:lang w:val="en-US" w:eastAsia="en-US" w:bidi="ar-SA"/>
      </w:rPr>
    </w:lvl>
    <w:lvl w:ilvl="5" w:tplc="016CCBD8">
      <w:numFmt w:val="bullet"/>
      <w:lvlText w:val="•"/>
      <w:lvlJc w:val="left"/>
      <w:pPr>
        <w:ind w:left="4657" w:hanging="332"/>
      </w:pPr>
      <w:rPr>
        <w:rFonts w:hint="default"/>
        <w:lang w:val="en-US" w:eastAsia="en-US" w:bidi="ar-SA"/>
      </w:rPr>
    </w:lvl>
    <w:lvl w:ilvl="6" w:tplc="BEC051AC">
      <w:numFmt w:val="bullet"/>
      <w:lvlText w:val="•"/>
      <w:lvlJc w:val="left"/>
      <w:pPr>
        <w:ind w:left="5702" w:hanging="332"/>
      </w:pPr>
      <w:rPr>
        <w:rFonts w:hint="default"/>
        <w:lang w:val="en-US" w:eastAsia="en-US" w:bidi="ar-SA"/>
      </w:rPr>
    </w:lvl>
    <w:lvl w:ilvl="7" w:tplc="8ABE3A70">
      <w:numFmt w:val="bullet"/>
      <w:lvlText w:val="•"/>
      <w:lvlJc w:val="left"/>
      <w:pPr>
        <w:ind w:left="6746" w:hanging="332"/>
      </w:pPr>
      <w:rPr>
        <w:rFonts w:hint="default"/>
        <w:lang w:val="en-US" w:eastAsia="en-US" w:bidi="ar-SA"/>
      </w:rPr>
    </w:lvl>
    <w:lvl w:ilvl="8" w:tplc="49EAFECE">
      <w:numFmt w:val="bullet"/>
      <w:lvlText w:val="•"/>
      <w:lvlJc w:val="left"/>
      <w:pPr>
        <w:ind w:left="7791" w:hanging="332"/>
      </w:pPr>
      <w:rPr>
        <w:rFonts w:hint="default"/>
        <w:lang w:val="en-US" w:eastAsia="en-US" w:bidi="ar-SA"/>
      </w:rPr>
    </w:lvl>
  </w:abstractNum>
  <w:num w:numId="1" w16cid:durableId="1059012202">
    <w:abstractNumId w:val="0"/>
  </w:num>
  <w:num w:numId="2" w16cid:durableId="187225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4AC8"/>
    <w:rsid w:val="00421C83"/>
    <w:rsid w:val="006F1A06"/>
    <w:rsid w:val="00A810ED"/>
    <w:rsid w:val="00C6490D"/>
    <w:rsid w:val="00D73B06"/>
    <w:rsid w:val="00E0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15D46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5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3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B0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73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B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2/section-200.343" TargetMode="External"/><Relationship Id="rId13" Type="http://schemas.openxmlformats.org/officeDocument/2006/relationships/hyperlink" Target="https://www.ecfr.gov/current/title-2/section-200.316" TargetMode="External"/><Relationship Id="rId18" Type="http://schemas.openxmlformats.org/officeDocument/2006/relationships/hyperlink" Target="https://www.ecfr.gov/current/title-2/section-200.33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ecfr.gov/current/title-2/section-200.310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ecfr.gov/current/title-2/section-200.310" TargetMode="External"/><Relationship Id="rId17" Type="http://schemas.openxmlformats.org/officeDocument/2006/relationships/hyperlink" Target="https://www.ecfr.gov/current/title-2/section-200.31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cfr.gov/current/title-2/section-200.310" TargetMode="External"/><Relationship Id="rId20" Type="http://schemas.openxmlformats.org/officeDocument/2006/relationships/hyperlink" Target="https://www.ecfr.gov/current/title-2/section-200.3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fr.gov/current/title-2/part-2900" TargetMode="External"/><Relationship Id="rId24" Type="http://schemas.openxmlformats.org/officeDocument/2006/relationships/hyperlink" Target="https://www.ecfr.gov/current/title-2/section-200.34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cfr.gov/current/title-2/part-200/subpart-F" TargetMode="External"/><Relationship Id="rId23" Type="http://schemas.openxmlformats.org/officeDocument/2006/relationships/hyperlink" Target="https://www.ecfr.gov/current/title-2/section-200.343" TargetMode="External"/><Relationship Id="rId10" Type="http://schemas.openxmlformats.org/officeDocument/2006/relationships/hyperlink" Target="https://www.ecfr.gov/current/title-2/section-200.345" TargetMode="External"/><Relationship Id="rId19" Type="http://schemas.openxmlformats.org/officeDocument/2006/relationships/hyperlink" Target="https://www.ecfr.gov/current/title-2/section-200.3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fr.gov/current/title-2/section-2900.15" TargetMode="External"/><Relationship Id="rId14" Type="http://schemas.openxmlformats.org/officeDocument/2006/relationships/hyperlink" Target="https://www.ecfr.gov/current/title-2/section-200.329" TargetMode="External"/><Relationship Id="rId22" Type="http://schemas.openxmlformats.org/officeDocument/2006/relationships/hyperlink" Target="https://www.ecfr.gov/current/title-2/section-200.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7417</Characters>
  <Application>Microsoft Office Word</Application>
  <DocSecurity>0</DocSecurity>
  <Lines>61</Lines>
  <Paragraphs>17</Paragraphs>
  <ScaleCrop>false</ScaleCrop>
  <Company>STATE OF NEVADA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Act State Compliance Policies</dc:title>
  <dc:subject>Section: 3.10 - Program Income</dc:subject>
  <dc:creator>Kimberly Jadidi</dc:creator>
  <cp:lastModifiedBy>Kimberly Jadidi</cp:lastModifiedBy>
  <cp:revision>4</cp:revision>
  <dcterms:created xsi:type="dcterms:W3CDTF">2026-08-27T20:48:00Z</dcterms:created>
  <dcterms:modified xsi:type="dcterms:W3CDTF">2026-08-28T20:12:00Z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Adobe PDF Library 20.5.172</vt:lpwstr>
  </property>
  <property fmtid="{D5CDD505-2E9C-101B-9397-08002B2CF9AE}" pid="6" name="SourceModified">
    <vt:lpwstr>D:20240715210853</vt:lpwstr>
  </property>
</Properties>
</file>