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BD7A6" w14:textId="77777777" w:rsidR="006E6645" w:rsidRDefault="003C0AE5">
      <w:pPr>
        <w:pStyle w:val="BodyText"/>
        <w:spacing w:line="48" w:lineRule="exact"/>
        <w:ind w:left="111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1A3BD7E1" wp14:editId="1A3BD7E2">
                <wp:extent cx="5981065" cy="3048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1065" cy="30480"/>
                          <a:chOff x="0" y="0"/>
                          <a:chExt cx="5981065" cy="3048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981065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065" h="30480">
                                <a:moveTo>
                                  <a:pt x="5961583" y="0"/>
                                </a:moveTo>
                                <a:lnTo>
                                  <a:pt x="17983" y="0"/>
                                </a:lnTo>
                                <a:lnTo>
                                  <a:pt x="17983" y="24130"/>
                                </a:lnTo>
                                <a:lnTo>
                                  <a:pt x="5961583" y="24130"/>
                                </a:lnTo>
                                <a:lnTo>
                                  <a:pt x="5961583" y="0"/>
                                </a:lnTo>
                                <a:close/>
                              </a:path>
                              <a:path w="5981065" h="30480">
                                <a:moveTo>
                                  <a:pt x="5981065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30480"/>
                                </a:lnTo>
                                <a:lnTo>
                                  <a:pt x="5981065" y="30480"/>
                                </a:lnTo>
                                <a:lnTo>
                                  <a:pt x="5981065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21B36D" id="Group 3" o:spid="_x0000_s1026" style="width:470.95pt;height:2.4pt;mso-position-horizontal-relative:char;mso-position-vertical-relative:line" coordsize="59810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">
                <v:shape id="Graphic 4" o:spid="_x0000_s1027" style="position:absolute;width:59810;height:304;visibility:visible;mso-wrap-style:square;v-text-anchor:top" coordsize="5981065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" path="m5961583,l17983,r,24130l5961583,24130r,-24130xem5981065,24384l,24384r,6096l5981065,30480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A3BD7A7" w14:textId="77777777" w:rsidR="006E6645" w:rsidRDefault="006E6645">
      <w:pPr>
        <w:pStyle w:val="BodyText"/>
        <w:spacing w:before="33"/>
      </w:pPr>
    </w:p>
    <w:p w14:paraId="1A3BD7A8" w14:textId="77777777" w:rsidR="006E6645" w:rsidRDefault="003C0AE5">
      <w:pPr>
        <w:spacing w:line="247" w:lineRule="auto"/>
        <w:ind w:left="3222" w:right="3221"/>
        <w:jc w:val="center"/>
        <w:rPr>
          <w:b/>
          <w:sz w:val="24"/>
        </w:rPr>
      </w:pPr>
      <w:r>
        <w:rPr>
          <w:b/>
          <w:sz w:val="24"/>
        </w:rPr>
        <w:t>Workforce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Investment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Act State Compliance Policies</w:t>
      </w:r>
    </w:p>
    <w:p w14:paraId="1A3BD7A9" w14:textId="77777777" w:rsidR="006E6645" w:rsidRDefault="006E6645">
      <w:pPr>
        <w:pStyle w:val="BodyText"/>
        <w:spacing w:before="5"/>
        <w:rPr>
          <w:b/>
        </w:rPr>
      </w:pPr>
    </w:p>
    <w:p w14:paraId="1A3BD7AA" w14:textId="77777777" w:rsidR="006E6645" w:rsidRDefault="003C0AE5">
      <w:pPr>
        <w:ind w:left="3222" w:right="3222"/>
        <w:jc w:val="center"/>
        <w:rPr>
          <w:b/>
          <w:sz w:val="24"/>
        </w:rPr>
      </w:pPr>
      <w:r>
        <w:rPr>
          <w:b/>
          <w:sz w:val="24"/>
        </w:rPr>
        <w:t>Carry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Forward,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Reallocation,</w:t>
      </w:r>
    </w:p>
    <w:p w14:paraId="1A3BD7AB" w14:textId="3BC9304D" w:rsidR="006E6645" w:rsidRDefault="003C0AE5">
      <w:pPr>
        <w:tabs>
          <w:tab w:val="left" w:pos="3368"/>
          <w:tab w:val="left" w:pos="8107"/>
        </w:tabs>
        <w:spacing w:before="7" w:line="247" w:lineRule="auto"/>
        <w:ind w:left="140" w:right="136"/>
        <w:jc w:val="center"/>
        <w:rPr>
          <w:b/>
          <w:sz w:val="24"/>
        </w:rPr>
      </w:pPr>
      <w:r>
        <w:rPr>
          <w:b/>
          <w:sz w:val="24"/>
        </w:rPr>
        <w:t>Section: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3.3</w:t>
      </w:r>
      <w:r>
        <w:rPr>
          <w:b/>
          <w:sz w:val="24"/>
        </w:rPr>
        <w:tab/>
        <w:t>Reallotment, Hold Harmless</w:t>
      </w:r>
      <w:r>
        <w:rPr>
          <w:b/>
          <w:sz w:val="24"/>
        </w:rPr>
        <w:tab/>
        <w:t>January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20</w:t>
      </w:r>
      <w:r w:rsidR="00044370">
        <w:rPr>
          <w:b/>
          <w:sz w:val="24"/>
        </w:rPr>
        <w:t>14</w:t>
      </w:r>
      <w:r>
        <w:rPr>
          <w:b/>
          <w:sz w:val="24"/>
        </w:rPr>
        <w:t xml:space="preserve"> and Period of Availability</w:t>
      </w:r>
    </w:p>
    <w:p w14:paraId="1A3BD7AC" w14:textId="77777777" w:rsidR="006E6645" w:rsidRDefault="003C0AE5">
      <w:pPr>
        <w:pStyle w:val="BodyText"/>
        <w:spacing w:before="8"/>
        <w:rPr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A3BD7E3" wp14:editId="1A3BD7E4">
                <wp:simplePos x="0" y="0"/>
                <wp:positionH relativeFrom="page">
                  <wp:posOffset>896416</wp:posOffset>
                </wp:positionH>
                <wp:positionV relativeFrom="paragraph">
                  <wp:posOffset>144822</wp:posOffset>
                </wp:positionV>
                <wp:extent cx="5981065" cy="3619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065" cy="36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065" h="36195">
                              <a:moveTo>
                                <a:pt x="5957773" y="0"/>
                              </a:moveTo>
                              <a:lnTo>
                                <a:pt x="14173" y="0"/>
                              </a:lnTo>
                              <a:lnTo>
                                <a:pt x="14173" y="24117"/>
                              </a:lnTo>
                              <a:lnTo>
                                <a:pt x="5957773" y="24117"/>
                              </a:lnTo>
                              <a:lnTo>
                                <a:pt x="5957773" y="0"/>
                              </a:lnTo>
                              <a:close/>
                            </a:path>
                            <a:path w="5981065" h="36195">
                              <a:moveTo>
                                <a:pt x="5981065" y="29959"/>
                              </a:moveTo>
                              <a:lnTo>
                                <a:pt x="0" y="29959"/>
                              </a:lnTo>
                              <a:lnTo>
                                <a:pt x="0" y="36055"/>
                              </a:lnTo>
                              <a:lnTo>
                                <a:pt x="5981065" y="36055"/>
                              </a:lnTo>
                              <a:lnTo>
                                <a:pt x="5981065" y="29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ED798A" id="Graphic 5" o:spid="_x0000_s1026" style="position:absolute;margin-left:70.6pt;margin-top:11.4pt;width:470.95pt;height:2.8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065,36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" path="m5957773,l14173,r,24117l5957773,24117r,-24117xem5981065,29959l,29959r,6096l5981065,36055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A3BD7AD" w14:textId="77777777" w:rsidR="006E6645" w:rsidRDefault="006E6645">
      <w:pPr>
        <w:pStyle w:val="BodyText"/>
        <w:rPr>
          <w:b/>
        </w:rPr>
      </w:pPr>
    </w:p>
    <w:p w14:paraId="1A3BD7AE" w14:textId="77777777" w:rsidR="006E6645" w:rsidRDefault="006E6645">
      <w:pPr>
        <w:pStyle w:val="BodyText"/>
        <w:spacing w:before="39"/>
        <w:rPr>
          <w:b/>
        </w:rPr>
      </w:pPr>
    </w:p>
    <w:p w14:paraId="1A3BD7AF" w14:textId="77777777" w:rsidR="006E6645" w:rsidRDefault="003C0AE5">
      <w:pPr>
        <w:pStyle w:val="ListParagraph"/>
        <w:numPr>
          <w:ilvl w:val="0"/>
          <w:numId w:val="3"/>
        </w:numPr>
        <w:tabs>
          <w:tab w:val="left" w:pos="860"/>
        </w:tabs>
        <w:spacing w:before="1" w:line="247" w:lineRule="auto"/>
        <w:ind w:right="135"/>
        <w:rPr>
          <w:sz w:val="24"/>
        </w:rPr>
      </w:pPr>
      <w:r>
        <w:rPr>
          <w:b/>
          <w:sz w:val="24"/>
        </w:rPr>
        <w:t>Carry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Forward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Funds: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Unobligated</w:t>
      </w:r>
      <w:r>
        <w:rPr>
          <w:spacing w:val="-15"/>
          <w:sz w:val="24"/>
        </w:rPr>
        <w:t xml:space="preserve"> </w:t>
      </w:r>
      <w:r>
        <w:rPr>
          <w:sz w:val="24"/>
        </w:rPr>
        <w:t>balance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Title</w:t>
      </w:r>
      <w:r>
        <w:rPr>
          <w:spacing w:val="-15"/>
          <w:sz w:val="24"/>
        </w:rPr>
        <w:t xml:space="preserve"> </w:t>
      </w:r>
      <w:r>
        <w:rPr>
          <w:sz w:val="24"/>
        </w:rPr>
        <w:t>I</w:t>
      </w:r>
      <w:r>
        <w:rPr>
          <w:spacing w:val="-18"/>
          <w:sz w:val="24"/>
        </w:rPr>
        <w:t xml:space="preserve"> </w:t>
      </w:r>
      <w:r>
        <w:rPr>
          <w:sz w:val="24"/>
        </w:rPr>
        <w:t>funds</w:t>
      </w:r>
      <w:r>
        <w:rPr>
          <w:spacing w:val="-15"/>
          <w:sz w:val="24"/>
        </w:rPr>
        <w:t xml:space="preserve"> </w:t>
      </w:r>
      <w:r>
        <w:rPr>
          <w:sz w:val="24"/>
        </w:rPr>
        <w:t>not</w:t>
      </w:r>
      <w:r>
        <w:rPr>
          <w:spacing w:val="-15"/>
          <w:sz w:val="24"/>
        </w:rPr>
        <w:t xml:space="preserve"> </w:t>
      </w:r>
      <w:r>
        <w:rPr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z w:val="24"/>
        </w:rPr>
        <w:t>excess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6"/>
          <w:sz w:val="24"/>
        </w:rPr>
        <w:t xml:space="preserve"> </w:t>
      </w:r>
      <w:r>
        <w:rPr>
          <w:sz w:val="24"/>
        </w:rPr>
        <w:t>20</w:t>
      </w:r>
      <w:r>
        <w:rPr>
          <w:spacing w:val="-15"/>
          <w:sz w:val="24"/>
        </w:rPr>
        <w:t xml:space="preserve"> </w:t>
      </w:r>
      <w:r>
        <w:rPr>
          <w:sz w:val="24"/>
        </w:rPr>
        <w:t>percent</w:t>
      </w:r>
      <w:r>
        <w:rPr>
          <w:spacing w:val="-15"/>
          <w:sz w:val="24"/>
        </w:rPr>
        <w:t xml:space="preserve"> </w:t>
      </w:r>
      <w:r>
        <w:rPr>
          <w:sz w:val="24"/>
        </w:rPr>
        <w:t>of the total allocation.</w:t>
      </w:r>
    </w:p>
    <w:p w14:paraId="1A3BD7B0" w14:textId="77777777" w:rsidR="006E6645" w:rsidRDefault="006E6645">
      <w:pPr>
        <w:pStyle w:val="BodyText"/>
        <w:spacing w:before="5"/>
      </w:pPr>
    </w:p>
    <w:p w14:paraId="1A3BD7B1" w14:textId="77777777" w:rsidR="006E6645" w:rsidRDefault="003C0AE5">
      <w:pPr>
        <w:pStyle w:val="BodyText"/>
        <w:spacing w:line="247" w:lineRule="auto"/>
        <w:ind w:left="860" w:right="136"/>
        <w:jc w:val="both"/>
      </w:pPr>
      <w:r>
        <w:rPr>
          <w:spacing w:val="-2"/>
        </w:rPr>
        <w:t>Allowable</w:t>
      </w:r>
      <w:r>
        <w:rPr>
          <w:spacing w:val="-9"/>
        </w:rPr>
        <w:t xml:space="preserve"> </w:t>
      </w:r>
      <w:r>
        <w:rPr>
          <w:spacing w:val="-2"/>
        </w:rPr>
        <w:t>carry</w:t>
      </w:r>
      <w:r>
        <w:rPr>
          <w:spacing w:val="-13"/>
        </w:rPr>
        <w:t xml:space="preserve"> </w:t>
      </w:r>
      <w:r>
        <w:rPr>
          <w:spacing w:val="-2"/>
        </w:rPr>
        <w:t>forward</w:t>
      </w:r>
      <w:r>
        <w:rPr>
          <w:spacing w:val="-8"/>
        </w:rPr>
        <w:t xml:space="preserve"> </w:t>
      </w:r>
      <w:r>
        <w:rPr>
          <w:spacing w:val="-2"/>
        </w:rPr>
        <w:t>funds</w:t>
      </w:r>
      <w:r>
        <w:rPr>
          <w:spacing w:val="-7"/>
        </w:rPr>
        <w:t xml:space="preserve"> </w:t>
      </w:r>
      <w:r>
        <w:rPr>
          <w:spacing w:val="-2"/>
        </w:rPr>
        <w:t>are</w:t>
      </w:r>
      <w:r>
        <w:rPr>
          <w:spacing w:val="-10"/>
        </w:rPr>
        <w:t xml:space="preserve"> </w:t>
      </w:r>
      <w:r>
        <w:rPr>
          <w:spacing w:val="-2"/>
        </w:rPr>
        <w:t>subject</w:t>
      </w:r>
      <w:r>
        <w:rPr>
          <w:spacing w:val="-6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all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minimum/maximum</w:t>
      </w:r>
      <w:r>
        <w:rPr>
          <w:spacing w:val="-6"/>
        </w:rPr>
        <w:t xml:space="preserve"> </w:t>
      </w:r>
      <w:r>
        <w:rPr>
          <w:spacing w:val="-2"/>
        </w:rPr>
        <w:t>cost</w:t>
      </w:r>
      <w:r>
        <w:rPr>
          <w:spacing w:val="-6"/>
        </w:rPr>
        <w:t xml:space="preserve"> </w:t>
      </w:r>
      <w:r>
        <w:rPr>
          <w:spacing w:val="-2"/>
        </w:rPr>
        <w:t xml:space="preserve">limitations. </w:t>
      </w:r>
      <w:r>
        <w:t>For example, additional administrative expenditures cannot be charged against any carry forward funds if the full allowable percentage has already been spent.</w:t>
      </w:r>
      <w:r>
        <w:rPr>
          <w:spacing w:val="40"/>
        </w:rPr>
        <w:t xml:space="preserve"> </w:t>
      </w:r>
      <w:r>
        <w:t xml:space="preserve">Depending on the cause(s) of the under-expenditure, the State Workforce Investment Board (SWIB), or its </w:t>
      </w:r>
      <w:r>
        <w:rPr>
          <w:spacing w:val="-2"/>
        </w:rPr>
        <w:t>designee,</w:t>
      </w:r>
      <w:r>
        <w:rPr>
          <w:spacing w:val="-6"/>
        </w:rPr>
        <w:t xml:space="preserve"> </w:t>
      </w:r>
      <w:r>
        <w:rPr>
          <w:spacing w:val="-2"/>
        </w:rPr>
        <w:t>has</w:t>
      </w:r>
      <w:r>
        <w:rPr>
          <w:spacing w:val="-7"/>
        </w:rPr>
        <w:t xml:space="preserve"> </w:t>
      </w:r>
      <w:r>
        <w:rPr>
          <w:spacing w:val="-2"/>
        </w:rPr>
        <w:t>some</w:t>
      </w:r>
      <w:r>
        <w:rPr>
          <w:spacing w:val="-7"/>
        </w:rPr>
        <w:t xml:space="preserve"> </w:t>
      </w:r>
      <w:r>
        <w:rPr>
          <w:spacing w:val="-2"/>
        </w:rPr>
        <w:t>flexibility</w:t>
      </w:r>
      <w:r>
        <w:rPr>
          <w:spacing w:val="-13"/>
        </w:rPr>
        <w:t xml:space="preserve"> </w:t>
      </w:r>
      <w:r>
        <w:rPr>
          <w:spacing w:val="-2"/>
        </w:rPr>
        <w:t>in</w:t>
      </w:r>
      <w:r>
        <w:rPr>
          <w:spacing w:val="-6"/>
        </w:rPr>
        <w:t xml:space="preserve"> </w:t>
      </w:r>
      <w:r>
        <w:rPr>
          <w:spacing w:val="-2"/>
        </w:rPr>
        <w:t>allowing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Local</w:t>
      </w:r>
      <w:r>
        <w:rPr>
          <w:spacing w:val="-6"/>
        </w:rPr>
        <w:t xml:space="preserve"> </w:t>
      </w:r>
      <w:r>
        <w:rPr>
          <w:spacing w:val="-2"/>
        </w:rPr>
        <w:t>Workforce</w:t>
      </w:r>
      <w:r>
        <w:rPr>
          <w:spacing w:val="-8"/>
        </w:rPr>
        <w:t xml:space="preserve"> </w:t>
      </w:r>
      <w:r>
        <w:rPr>
          <w:spacing w:val="-2"/>
        </w:rPr>
        <w:t>Investment</w:t>
      </w:r>
      <w:r>
        <w:rPr>
          <w:spacing w:val="-6"/>
        </w:rPr>
        <w:t xml:space="preserve"> </w:t>
      </w:r>
      <w:r>
        <w:rPr>
          <w:spacing w:val="-2"/>
        </w:rPr>
        <w:t>Board’s</w:t>
      </w:r>
      <w:r>
        <w:rPr>
          <w:spacing w:val="-7"/>
        </w:rPr>
        <w:t xml:space="preserve"> </w:t>
      </w:r>
      <w:r>
        <w:rPr>
          <w:spacing w:val="-2"/>
        </w:rPr>
        <w:t xml:space="preserve">(LWIB) </w:t>
      </w:r>
      <w:r>
        <w:t>grantee(s) to carry forward funds in excess of 20 percent since the minimum obligation requirement (80 percent) applies to the local area as a whole §667.160.</w:t>
      </w:r>
    </w:p>
    <w:p w14:paraId="1A3BD7B2" w14:textId="77777777" w:rsidR="006E6645" w:rsidRDefault="006E6645">
      <w:pPr>
        <w:pStyle w:val="BodyText"/>
        <w:spacing w:before="5"/>
      </w:pPr>
    </w:p>
    <w:p w14:paraId="1A3BD7B3" w14:textId="77777777" w:rsidR="006E6645" w:rsidRDefault="003C0AE5">
      <w:pPr>
        <w:pStyle w:val="ListParagraph"/>
        <w:numPr>
          <w:ilvl w:val="0"/>
          <w:numId w:val="3"/>
        </w:numPr>
        <w:tabs>
          <w:tab w:val="left" w:pos="860"/>
        </w:tabs>
        <w:spacing w:line="247" w:lineRule="auto"/>
        <w:ind w:right="136"/>
        <w:rPr>
          <w:sz w:val="24"/>
        </w:rPr>
      </w:pPr>
      <w:r>
        <w:rPr>
          <w:b/>
          <w:spacing w:val="-2"/>
          <w:sz w:val="24"/>
        </w:rPr>
        <w:t>Reallocation:</w:t>
      </w:r>
      <w:r>
        <w:rPr>
          <w:b/>
          <w:spacing w:val="37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State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may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reallocate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funds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from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prior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program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year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funding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stream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to </w:t>
      </w:r>
      <w:r>
        <w:rPr>
          <w:sz w:val="24"/>
        </w:rPr>
        <w:t>eligible local areas.</w:t>
      </w:r>
    </w:p>
    <w:p w14:paraId="1A3BD7B4" w14:textId="77777777" w:rsidR="006E6645" w:rsidRDefault="006E6645">
      <w:pPr>
        <w:pStyle w:val="BodyText"/>
        <w:spacing w:before="5"/>
      </w:pPr>
    </w:p>
    <w:p w14:paraId="1A3BD7B5" w14:textId="77777777" w:rsidR="006E6645" w:rsidRDefault="003C0AE5">
      <w:pPr>
        <w:pStyle w:val="ListParagraph"/>
        <w:numPr>
          <w:ilvl w:val="1"/>
          <w:numId w:val="3"/>
        </w:numPr>
        <w:tabs>
          <w:tab w:val="left" w:pos="1310"/>
        </w:tabs>
        <w:ind w:left="1310" w:hanging="450"/>
        <w:jc w:val="both"/>
        <w:rPr>
          <w:sz w:val="24"/>
        </w:rPr>
      </w:pPr>
      <w:r>
        <w:rPr>
          <w:spacing w:val="-2"/>
          <w:sz w:val="24"/>
        </w:rPr>
        <w:t>Recapture:</w:t>
      </w:r>
    </w:p>
    <w:p w14:paraId="1A3BD7B6" w14:textId="77777777" w:rsidR="006E6645" w:rsidRDefault="003C0AE5">
      <w:pPr>
        <w:pStyle w:val="ListParagraph"/>
        <w:numPr>
          <w:ilvl w:val="2"/>
          <w:numId w:val="3"/>
        </w:numPr>
        <w:tabs>
          <w:tab w:val="left" w:pos="1940"/>
        </w:tabs>
        <w:spacing w:before="8" w:line="247" w:lineRule="auto"/>
        <w:ind w:right="134"/>
        <w:jc w:val="both"/>
        <w:rPr>
          <w:sz w:val="24"/>
        </w:rPr>
      </w:pPr>
      <w:r>
        <w:rPr>
          <w:sz w:val="24"/>
        </w:rPr>
        <w:t>The amount to be recaptured, if any, from each local area funding stream for youth,</w:t>
      </w:r>
      <w:r>
        <w:rPr>
          <w:spacing w:val="-7"/>
          <w:sz w:val="24"/>
        </w:rPr>
        <w:t xml:space="preserve"> </w:t>
      </w:r>
      <w:r>
        <w:rPr>
          <w:sz w:val="24"/>
        </w:rPr>
        <w:t>adult,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dislocated</w:t>
      </w:r>
      <w:r>
        <w:rPr>
          <w:spacing w:val="-8"/>
          <w:sz w:val="24"/>
        </w:rPr>
        <w:t xml:space="preserve"> </w:t>
      </w:r>
      <w:r>
        <w:rPr>
          <w:sz w:val="24"/>
        </w:rPr>
        <w:t>workers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purposes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reallocation</w:t>
      </w:r>
      <w:r>
        <w:rPr>
          <w:spacing w:val="-8"/>
          <w:sz w:val="24"/>
        </w:rPr>
        <w:t xml:space="preserve"> </w:t>
      </w:r>
      <w:r>
        <w:rPr>
          <w:sz w:val="24"/>
        </w:rPr>
        <w:t>must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based 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prior</w:t>
      </w:r>
      <w:r>
        <w:rPr>
          <w:spacing w:val="-4"/>
          <w:sz w:val="24"/>
        </w:rPr>
        <w:t xml:space="preserve"> </w:t>
      </w:r>
      <w:r>
        <w:rPr>
          <w:sz w:val="24"/>
        </w:rPr>
        <w:t>year’s</w:t>
      </w:r>
      <w:r>
        <w:rPr>
          <w:spacing w:val="-5"/>
          <w:sz w:val="24"/>
        </w:rPr>
        <w:t xml:space="preserve"> </w:t>
      </w:r>
      <w:r>
        <w:rPr>
          <w:sz w:val="24"/>
        </w:rPr>
        <w:t>unobligated</w:t>
      </w:r>
      <w:r>
        <w:rPr>
          <w:spacing w:val="-4"/>
          <w:sz w:val="24"/>
        </w:rPr>
        <w:t xml:space="preserve"> </w:t>
      </w:r>
      <w:r>
        <w:rPr>
          <w:sz w:val="24"/>
        </w:rPr>
        <w:t>balance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funds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exceeds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>
        <w:rPr>
          <w:spacing w:val="-7"/>
          <w:sz w:val="24"/>
        </w:rPr>
        <w:t xml:space="preserve"> </w:t>
      </w:r>
      <w:r>
        <w:rPr>
          <w:sz w:val="24"/>
        </w:rPr>
        <w:t>percent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that </w:t>
      </w:r>
      <w:r>
        <w:rPr>
          <w:spacing w:val="-2"/>
          <w:sz w:val="24"/>
        </w:rPr>
        <w:t>year’s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allocation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program,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less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any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amount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reserved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(up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10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percent)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for </w:t>
      </w:r>
      <w:r>
        <w:rPr>
          <w:sz w:val="24"/>
        </w:rPr>
        <w:t>the costs of administration [§667.160(b)].</w:t>
      </w:r>
    </w:p>
    <w:p w14:paraId="1A3BD7B7" w14:textId="77777777" w:rsidR="006E6645" w:rsidRDefault="006E6645">
      <w:pPr>
        <w:pStyle w:val="BodyText"/>
        <w:spacing w:before="2"/>
      </w:pPr>
    </w:p>
    <w:p w14:paraId="1A3BD7B8" w14:textId="77777777" w:rsidR="006E6645" w:rsidRDefault="003C0AE5">
      <w:pPr>
        <w:pStyle w:val="ListParagraph"/>
        <w:numPr>
          <w:ilvl w:val="2"/>
          <w:numId w:val="3"/>
        </w:numPr>
        <w:tabs>
          <w:tab w:val="left" w:pos="1940"/>
        </w:tabs>
        <w:spacing w:line="247" w:lineRule="auto"/>
        <w:ind w:right="132"/>
        <w:jc w:val="both"/>
        <w:rPr>
          <w:sz w:val="24"/>
        </w:rPr>
      </w:pPr>
      <w:r>
        <w:rPr>
          <w:sz w:val="24"/>
        </w:rPr>
        <w:t>Unobligated</w:t>
      </w:r>
      <w:r>
        <w:rPr>
          <w:spacing w:val="-15"/>
          <w:sz w:val="24"/>
        </w:rPr>
        <w:t xml:space="preserve"> </w:t>
      </w:r>
      <w:r>
        <w:rPr>
          <w:sz w:val="24"/>
        </w:rPr>
        <w:t>balances</w:t>
      </w:r>
      <w:r>
        <w:rPr>
          <w:spacing w:val="-15"/>
          <w:sz w:val="24"/>
        </w:rPr>
        <w:t xml:space="preserve"> </w:t>
      </w:r>
      <w:r>
        <w:rPr>
          <w:sz w:val="24"/>
        </w:rPr>
        <w:t>are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be</w:t>
      </w:r>
      <w:r>
        <w:rPr>
          <w:spacing w:val="-15"/>
          <w:sz w:val="24"/>
        </w:rPr>
        <w:t xml:space="preserve"> </w:t>
      </w:r>
      <w:r>
        <w:rPr>
          <w:sz w:val="24"/>
        </w:rPr>
        <w:t>determined</w:t>
      </w:r>
      <w:r>
        <w:rPr>
          <w:spacing w:val="-15"/>
          <w:sz w:val="24"/>
        </w:rPr>
        <w:t xml:space="preserve"> </w:t>
      </w:r>
      <w:r>
        <w:rPr>
          <w:sz w:val="24"/>
        </w:rPr>
        <w:t>based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5"/>
          <w:sz w:val="24"/>
        </w:rPr>
        <w:t xml:space="preserve"> </w:t>
      </w:r>
      <w:r>
        <w:rPr>
          <w:sz w:val="24"/>
        </w:rPr>
        <w:t>allocations</w:t>
      </w:r>
      <w:r>
        <w:rPr>
          <w:spacing w:val="-15"/>
          <w:sz w:val="24"/>
        </w:rPr>
        <w:t xml:space="preserve"> </w:t>
      </w:r>
      <w:r>
        <w:rPr>
          <w:sz w:val="24"/>
        </w:rPr>
        <w:t>adjusted</w:t>
      </w:r>
      <w:r>
        <w:rPr>
          <w:spacing w:val="-15"/>
          <w:sz w:val="24"/>
        </w:rPr>
        <w:t xml:space="preserve"> </w:t>
      </w:r>
      <w:r>
        <w:rPr>
          <w:sz w:val="24"/>
        </w:rPr>
        <w:t>for</w:t>
      </w:r>
      <w:r>
        <w:rPr>
          <w:spacing w:val="-15"/>
          <w:sz w:val="24"/>
        </w:rPr>
        <w:t xml:space="preserve"> </w:t>
      </w:r>
      <w:r>
        <w:rPr>
          <w:sz w:val="24"/>
        </w:rPr>
        <w:t>any transfer</w:t>
      </w:r>
      <w:r>
        <w:rPr>
          <w:spacing w:val="-5"/>
          <w:sz w:val="24"/>
        </w:rPr>
        <w:t xml:space="preserve"> </w:t>
      </w:r>
      <w:r>
        <w:rPr>
          <w:sz w:val="24"/>
        </w:rPr>
        <w:t>between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adult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dislocated</w:t>
      </w:r>
      <w:r>
        <w:rPr>
          <w:spacing w:val="-8"/>
          <w:sz w:val="24"/>
        </w:rPr>
        <w:t xml:space="preserve"> </w:t>
      </w:r>
      <w:r>
        <w:rPr>
          <w:sz w:val="24"/>
        </w:rPr>
        <w:t>worker</w:t>
      </w:r>
      <w:r>
        <w:rPr>
          <w:spacing w:val="-9"/>
          <w:sz w:val="24"/>
        </w:rPr>
        <w:t xml:space="preserve"> </w:t>
      </w:r>
      <w:r>
        <w:rPr>
          <w:sz w:val="24"/>
        </w:rPr>
        <w:t>funding</w:t>
      </w:r>
      <w:r>
        <w:rPr>
          <w:spacing w:val="-11"/>
          <w:sz w:val="24"/>
        </w:rPr>
        <w:t xml:space="preserve"> </w:t>
      </w:r>
      <w:r>
        <w:rPr>
          <w:sz w:val="24"/>
        </w:rPr>
        <w:t>streams</w:t>
      </w:r>
      <w:r>
        <w:rPr>
          <w:spacing w:val="-8"/>
          <w:sz w:val="24"/>
        </w:rPr>
        <w:t xml:space="preserve"> </w:t>
      </w:r>
      <w:r>
        <w:rPr>
          <w:sz w:val="24"/>
        </w:rPr>
        <w:t>[§667.150(b) and §667.160(b)].</w:t>
      </w:r>
    </w:p>
    <w:p w14:paraId="1A3BD7B9" w14:textId="77777777" w:rsidR="006E6645" w:rsidRDefault="006E6645">
      <w:pPr>
        <w:pStyle w:val="BodyText"/>
        <w:spacing w:before="4"/>
      </w:pPr>
    </w:p>
    <w:p w14:paraId="1A3BD7BA" w14:textId="77777777" w:rsidR="006E6645" w:rsidRDefault="003C0AE5">
      <w:pPr>
        <w:pStyle w:val="ListParagraph"/>
        <w:numPr>
          <w:ilvl w:val="2"/>
          <w:numId w:val="3"/>
        </w:numPr>
        <w:tabs>
          <w:tab w:val="left" w:pos="1904"/>
          <w:tab w:val="left" w:pos="1940"/>
        </w:tabs>
        <w:spacing w:line="247" w:lineRule="auto"/>
        <w:ind w:right="138"/>
        <w:jc w:val="both"/>
        <w:rPr>
          <w:sz w:val="24"/>
        </w:rPr>
      </w:pPr>
      <w:r>
        <w:rPr>
          <w:spacing w:val="-2"/>
          <w:sz w:val="24"/>
        </w:rPr>
        <w:t>Any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increase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decrease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allocation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occur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following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program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year’s grant.</w:t>
      </w:r>
    </w:p>
    <w:p w14:paraId="1A3BD7BB" w14:textId="77777777" w:rsidR="006E6645" w:rsidRDefault="006E6645">
      <w:pPr>
        <w:pStyle w:val="BodyText"/>
        <w:spacing w:before="5"/>
      </w:pPr>
    </w:p>
    <w:p w14:paraId="1A3BD7BC" w14:textId="77777777" w:rsidR="006E6645" w:rsidRDefault="003C0AE5">
      <w:pPr>
        <w:pStyle w:val="ListParagraph"/>
        <w:numPr>
          <w:ilvl w:val="1"/>
          <w:numId w:val="3"/>
        </w:numPr>
        <w:tabs>
          <w:tab w:val="left" w:pos="1579"/>
        </w:tabs>
        <w:ind w:left="1579" w:hanging="719"/>
        <w:jc w:val="both"/>
        <w:rPr>
          <w:sz w:val="24"/>
        </w:rPr>
      </w:pPr>
      <w:r>
        <w:rPr>
          <w:sz w:val="24"/>
        </w:rPr>
        <w:t>Eligible</w:t>
      </w:r>
      <w:r>
        <w:rPr>
          <w:spacing w:val="-6"/>
          <w:sz w:val="24"/>
        </w:rPr>
        <w:t xml:space="preserve"> </w:t>
      </w:r>
      <w:r>
        <w:rPr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Areas:</w:t>
      </w:r>
    </w:p>
    <w:p w14:paraId="1A3BD7BD" w14:textId="77777777" w:rsidR="006E6645" w:rsidRDefault="003C0AE5">
      <w:pPr>
        <w:pStyle w:val="BodyText"/>
        <w:spacing w:before="8" w:line="247" w:lineRule="auto"/>
        <w:ind w:left="1580" w:right="136"/>
        <w:jc w:val="both"/>
      </w:pPr>
      <w:r>
        <w:t>Those</w:t>
      </w:r>
      <w:r>
        <w:rPr>
          <w:spacing w:val="-13"/>
        </w:rPr>
        <w:t xml:space="preserve"> </w:t>
      </w:r>
      <w:r>
        <w:t>local</w:t>
      </w:r>
      <w:r>
        <w:rPr>
          <w:spacing w:val="-11"/>
        </w:rPr>
        <w:t xml:space="preserve"> </w:t>
      </w:r>
      <w:r>
        <w:t>areas,</w:t>
      </w:r>
      <w:r>
        <w:rPr>
          <w:spacing w:val="-11"/>
        </w:rPr>
        <w:t xml:space="preserve"> </w:t>
      </w:r>
      <w:r>
        <w:t>which</w:t>
      </w:r>
      <w:r>
        <w:rPr>
          <w:spacing w:val="-12"/>
        </w:rPr>
        <w:t xml:space="preserve"> </w:t>
      </w:r>
      <w:r>
        <w:t>have</w:t>
      </w:r>
      <w:r>
        <w:rPr>
          <w:spacing w:val="-12"/>
        </w:rPr>
        <w:t xml:space="preserve"> </w:t>
      </w:r>
      <w:r>
        <w:t>obligated</w:t>
      </w:r>
      <w:r>
        <w:rPr>
          <w:spacing w:val="-11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least</w:t>
      </w:r>
      <w:r>
        <w:rPr>
          <w:spacing w:val="-11"/>
        </w:rPr>
        <w:t xml:space="preserve"> </w:t>
      </w:r>
      <w:r>
        <w:t>80</w:t>
      </w:r>
      <w:r>
        <w:rPr>
          <w:spacing w:val="-14"/>
        </w:rPr>
        <w:t xml:space="preserve"> </w:t>
      </w:r>
      <w:r>
        <w:t>percent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local</w:t>
      </w:r>
      <w:r>
        <w:rPr>
          <w:spacing w:val="-14"/>
        </w:rPr>
        <w:t xml:space="preserve"> </w:t>
      </w:r>
      <w:r>
        <w:t>area</w:t>
      </w:r>
      <w:r>
        <w:rPr>
          <w:spacing w:val="-15"/>
        </w:rPr>
        <w:t xml:space="preserve"> </w:t>
      </w:r>
      <w:r>
        <w:t xml:space="preserve">formula </w:t>
      </w:r>
      <w:r>
        <w:rPr>
          <w:spacing w:val="-4"/>
        </w:rPr>
        <w:t>and discretionary</w:t>
      </w:r>
      <w:r>
        <w:rPr>
          <w:spacing w:val="-11"/>
        </w:rPr>
        <w:t xml:space="preserve"> </w:t>
      </w:r>
      <w:r>
        <w:rPr>
          <w:spacing w:val="-4"/>
        </w:rPr>
        <w:t>allocations for the program</w:t>
      </w:r>
      <w:r>
        <w:rPr>
          <w:spacing w:val="-7"/>
        </w:rPr>
        <w:t xml:space="preserve"> </w:t>
      </w:r>
      <w:r>
        <w:rPr>
          <w:spacing w:val="-4"/>
        </w:rPr>
        <w:t>year</w:t>
      </w:r>
      <w:r>
        <w:rPr>
          <w:spacing w:val="-8"/>
        </w:rPr>
        <w:t xml:space="preserve"> </w:t>
      </w:r>
      <w:r>
        <w:rPr>
          <w:spacing w:val="-4"/>
        </w:rPr>
        <w:t>prior</w:t>
      </w:r>
      <w:r>
        <w:rPr>
          <w:spacing w:val="-8"/>
        </w:rPr>
        <w:t xml:space="preserve"> </w:t>
      </w:r>
      <w:r>
        <w:rPr>
          <w:spacing w:val="-4"/>
        </w:rPr>
        <w:t>to</w:t>
      </w:r>
      <w:r>
        <w:rPr>
          <w:spacing w:val="-8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program</w:t>
      </w:r>
      <w:r>
        <w:rPr>
          <w:spacing w:val="-7"/>
        </w:rPr>
        <w:t xml:space="preserve"> </w:t>
      </w:r>
      <w:r>
        <w:rPr>
          <w:spacing w:val="-4"/>
        </w:rPr>
        <w:t>year</w:t>
      </w:r>
      <w:r>
        <w:rPr>
          <w:spacing w:val="-8"/>
        </w:rPr>
        <w:t xml:space="preserve"> </w:t>
      </w:r>
      <w:r>
        <w:rPr>
          <w:spacing w:val="-4"/>
        </w:rPr>
        <w:t>for</w:t>
      </w:r>
      <w:r>
        <w:rPr>
          <w:spacing w:val="-8"/>
        </w:rPr>
        <w:t xml:space="preserve"> </w:t>
      </w:r>
      <w:r>
        <w:rPr>
          <w:spacing w:val="-4"/>
        </w:rPr>
        <w:t xml:space="preserve">which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determination</w:t>
      </w:r>
      <w:r>
        <w:rPr>
          <w:spacing w:val="-13"/>
        </w:rPr>
        <w:t xml:space="preserve"> </w:t>
      </w:r>
      <w:r>
        <w:rPr>
          <w:spacing w:val="-2"/>
        </w:rPr>
        <w:t>is</w:t>
      </w:r>
      <w:r>
        <w:rPr>
          <w:spacing w:val="-13"/>
        </w:rPr>
        <w:t xml:space="preserve"> </w:t>
      </w:r>
      <w:r>
        <w:rPr>
          <w:spacing w:val="-2"/>
        </w:rPr>
        <w:t>being</w:t>
      </w:r>
      <w:r>
        <w:rPr>
          <w:spacing w:val="-13"/>
        </w:rPr>
        <w:t xml:space="preserve"> </w:t>
      </w:r>
      <w:r>
        <w:rPr>
          <w:spacing w:val="-2"/>
        </w:rPr>
        <w:t>made,</w:t>
      </w:r>
      <w:r>
        <w:rPr>
          <w:spacing w:val="-13"/>
        </w:rPr>
        <w:t xml:space="preserve"> </w:t>
      </w:r>
      <w:r>
        <w:rPr>
          <w:spacing w:val="-2"/>
        </w:rPr>
        <w:t>will</w:t>
      </w:r>
      <w:r>
        <w:rPr>
          <w:spacing w:val="-13"/>
        </w:rPr>
        <w:t xml:space="preserve"> </w:t>
      </w:r>
      <w:r>
        <w:rPr>
          <w:spacing w:val="-2"/>
        </w:rPr>
        <w:t>be</w:t>
      </w:r>
      <w:r>
        <w:rPr>
          <w:spacing w:val="-13"/>
        </w:rPr>
        <w:t xml:space="preserve"> </w:t>
      </w:r>
      <w:r>
        <w:rPr>
          <w:spacing w:val="-2"/>
        </w:rPr>
        <w:t>considered</w:t>
      </w:r>
      <w:r>
        <w:rPr>
          <w:spacing w:val="-13"/>
        </w:rPr>
        <w:t xml:space="preserve"> </w:t>
      </w:r>
      <w:r>
        <w:rPr>
          <w:spacing w:val="-2"/>
        </w:rPr>
        <w:t>eligible</w:t>
      </w:r>
      <w:r>
        <w:rPr>
          <w:spacing w:val="-13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receive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 xml:space="preserve">reallocated </w:t>
      </w:r>
      <w:r>
        <w:t>funds.</w:t>
      </w:r>
      <w:r>
        <w:rPr>
          <w:spacing w:val="40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amount,</w:t>
      </w:r>
      <w:r>
        <w:rPr>
          <w:spacing w:val="-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any,</w:t>
      </w:r>
      <w:r>
        <w:rPr>
          <w:spacing w:val="-7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separately</w:t>
      </w:r>
      <w:r>
        <w:rPr>
          <w:spacing w:val="-14"/>
        </w:rPr>
        <w:t xml:space="preserve"> </w:t>
      </w:r>
      <w:r>
        <w:t>determined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funding</w:t>
      </w:r>
      <w:r>
        <w:rPr>
          <w:spacing w:val="-12"/>
        </w:rPr>
        <w:t xml:space="preserve"> </w:t>
      </w:r>
      <w:r>
        <w:t>stream [§667.160(c), WIA Sections 128(c)(4) and 133(c)(4)].</w:t>
      </w:r>
    </w:p>
    <w:p w14:paraId="1A3BD7BE" w14:textId="77777777" w:rsidR="006E6645" w:rsidRDefault="006E6645">
      <w:pPr>
        <w:spacing w:line="247" w:lineRule="auto"/>
        <w:jc w:val="both"/>
        <w:sectPr w:rsidR="006E6645">
          <w:footerReference w:type="default" r:id="rId7"/>
          <w:type w:val="continuous"/>
          <w:pgSz w:w="12240" w:h="15840"/>
          <w:pgMar w:top="1440" w:right="1300" w:bottom="1320" w:left="1300" w:header="0" w:footer="1139" w:gutter="0"/>
          <w:pgNumType w:start="1"/>
          <w:cols w:space="720"/>
        </w:sectPr>
      </w:pPr>
    </w:p>
    <w:p w14:paraId="1A3BD7BF" w14:textId="77777777" w:rsidR="006E6645" w:rsidRDefault="003C0AE5">
      <w:pPr>
        <w:pStyle w:val="ListParagraph"/>
        <w:numPr>
          <w:ilvl w:val="1"/>
          <w:numId w:val="3"/>
        </w:numPr>
        <w:tabs>
          <w:tab w:val="left" w:pos="1580"/>
        </w:tabs>
        <w:spacing w:before="65"/>
        <w:ind w:left="1580" w:hanging="720"/>
        <w:rPr>
          <w:sz w:val="24"/>
        </w:rPr>
      </w:pPr>
      <w:r>
        <w:rPr>
          <w:sz w:val="24"/>
        </w:rPr>
        <w:lastRenderedPageBreak/>
        <w:t>State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Requirements:</w:t>
      </w:r>
    </w:p>
    <w:p w14:paraId="1A3BD7C0" w14:textId="77777777" w:rsidR="006E6645" w:rsidRDefault="003C0AE5">
      <w:pPr>
        <w:pStyle w:val="ListParagraph"/>
        <w:numPr>
          <w:ilvl w:val="2"/>
          <w:numId w:val="3"/>
        </w:numPr>
        <w:tabs>
          <w:tab w:val="left" w:pos="1940"/>
        </w:tabs>
        <w:spacing w:before="7" w:line="247" w:lineRule="auto"/>
        <w:ind w:right="136"/>
        <w:rPr>
          <w:b/>
          <w:i/>
          <w:sz w:val="24"/>
        </w:rPr>
      </w:pPr>
      <w:r>
        <w:rPr>
          <w:spacing w:val="-2"/>
          <w:sz w:val="24"/>
        </w:rPr>
        <w:t>Reallocation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funds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normally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processed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during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October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November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 xml:space="preserve">of </w:t>
      </w:r>
      <w:r>
        <w:rPr>
          <w:sz w:val="24"/>
        </w:rPr>
        <w:t>the second year of allocation (state requirement)</w:t>
      </w:r>
      <w:r>
        <w:rPr>
          <w:b/>
          <w:i/>
          <w:sz w:val="24"/>
        </w:rPr>
        <w:t>.</w:t>
      </w:r>
    </w:p>
    <w:p w14:paraId="1A3BD7C1" w14:textId="77777777" w:rsidR="006E6645" w:rsidRDefault="006E6645">
      <w:pPr>
        <w:pStyle w:val="BodyText"/>
        <w:spacing w:before="5"/>
        <w:rPr>
          <w:b/>
          <w:i/>
        </w:rPr>
      </w:pPr>
    </w:p>
    <w:p w14:paraId="1A3BD7C2" w14:textId="77777777" w:rsidR="006E6645" w:rsidRDefault="003C0AE5">
      <w:pPr>
        <w:pStyle w:val="ListParagraph"/>
        <w:numPr>
          <w:ilvl w:val="2"/>
          <w:numId w:val="3"/>
        </w:numPr>
        <w:tabs>
          <w:tab w:val="left" w:pos="1940"/>
        </w:tabs>
        <w:spacing w:line="247" w:lineRule="auto"/>
        <w:ind w:right="135"/>
        <w:rPr>
          <w:sz w:val="24"/>
        </w:rPr>
      </w:pPr>
      <w:r>
        <w:rPr>
          <w:spacing w:val="-2"/>
          <w:sz w:val="24"/>
        </w:rPr>
        <w:t>Grantees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receiving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reallocated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funds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will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required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submit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modification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 xml:space="preserve">to </w:t>
      </w:r>
      <w:r>
        <w:rPr>
          <w:sz w:val="24"/>
        </w:rPr>
        <w:t>their plan and/or scope of work (state requirement).</w:t>
      </w:r>
    </w:p>
    <w:p w14:paraId="1A3BD7C3" w14:textId="77777777" w:rsidR="006E6645" w:rsidRDefault="006E6645">
      <w:pPr>
        <w:pStyle w:val="BodyText"/>
      </w:pPr>
    </w:p>
    <w:p w14:paraId="1A3BD7C4" w14:textId="77777777" w:rsidR="006E6645" w:rsidRDefault="006E6645">
      <w:pPr>
        <w:pStyle w:val="BodyText"/>
        <w:spacing w:before="12"/>
      </w:pPr>
    </w:p>
    <w:p w14:paraId="1A3BD7C5" w14:textId="77777777" w:rsidR="006E6645" w:rsidRDefault="003C0AE5">
      <w:pPr>
        <w:pStyle w:val="ListParagraph"/>
        <w:numPr>
          <w:ilvl w:val="0"/>
          <w:numId w:val="3"/>
        </w:numPr>
        <w:tabs>
          <w:tab w:val="left" w:pos="860"/>
        </w:tabs>
        <w:spacing w:before="1"/>
        <w:rPr>
          <w:sz w:val="24"/>
        </w:rPr>
      </w:pPr>
      <w:r>
        <w:rPr>
          <w:b/>
          <w:sz w:val="24"/>
        </w:rPr>
        <w:t>Hold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Harmless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Provision: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(20CFR</w:t>
      </w:r>
      <w:r>
        <w:rPr>
          <w:spacing w:val="-3"/>
          <w:sz w:val="24"/>
        </w:rPr>
        <w:t xml:space="preserve"> </w:t>
      </w:r>
      <w:r>
        <w:rPr>
          <w:sz w:val="24"/>
        </w:rPr>
        <w:t>667.135);WIA</w:t>
      </w:r>
      <w:r>
        <w:rPr>
          <w:spacing w:val="-2"/>
          <w:sz w:val="24"/>
        </w:rPr>
        <w:t xml:space="preserve"> </w:t>
      </w:r>
      <w:r>
        <w:rPr>
          <w:sz w:val="24"/>
        </w:rPr>
        <w:t>Adult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Youth</w:t>
      </w:r>
      <w:r>
        <w:rPr>
          <w:spacing w:val="-2"/>
          <w:sz w:val="24"/>
        </w:rPr>
        <w:t xml:space="preserve"> Allocations</w:t>
      </w:r>
    </w:p>
    <w:p w14:paraId="1A3BD7C6" w14:textId="77777777" w:rsidR="006E6645" w:rsidRDefault="006E6645">
      <w:pPr>
        <w:pStyle w:val="BodyText"/>
        <w:spacing w:before="14"/>
      </w:pPr>
    </w:p>
    <w:p w14:paraId="1A3BD7C7" w14:textId="77777777" w:rsidR="006E6645" w:rsidRDefault="003C0AE5">
      <w:pPr>
        <w:pStyle w:val="ListParagraph"/>
        <w:numPr>
          <w:ilvl w:val="1"/>
          <w:numId w:val="3"/>
        </w:numPr>
        <w:tabs>
          <w:tab w:val="left" w:pos="1580"/>
        </w:tabs>
        <w:spacing w:line="247" w:lineRule="auto"/>
        <w:ind w:left="1580" w:right="135" w:hanging="720"/>
        <w:jc w:val="both"/>
        <w:rPr>
          <w:sz w:val="24"/>
        </w:rPr>
      </w:pPr>
      <w:r>
        <w:rPr>
          <w:sz w:val="24"/>
        </w:rPr>
        <w:t xml:space="preserve">1. For the first two fiscal years after the date on which a local area is designated under section 116 of WIA, the State may elect to apply the “hold harmless” </w:t>
      </w:r>
      <w:r>
        <w:rPr>
          <w:spacing w:val="-2"/>
          <w:sz w:val="24"/>
        </w:rPr>
        <w:t>provisions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specified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paragraph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(B)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section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local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area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allocations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WIA </w:t>
      </w:r>
      <w:r>
        <w:rPr>
          <w:sz w:val="24"/>
        </w:rPr>
        <w:t>youth</w:t>
      </w:r>
      <w:r>
        <w:rPr>
          <w:spacing w:val="57"/>
          <w:sz w:val="24"/>
        </w:rPr>
        <w:t xml:space="preserve"> </w:t>
      </w:r>
      <w:r>
        <w:rPr>
          <w:sz w:val="24"/>
        </w:rPr>
        <w:t>funds</w:t>
      </w:r>
      <w:r>
        <w:rPr>
          <w:spacing w:val="57"/>
          <w:sz w:val="24"/>
        </w:rPr>
        <w:t xml:space="preserve"> </w:t>
      </w:r>
      <w:r>
        <w:rPr>
          <w:sz w:val="24"/>
        </w:rPr>
        <w:t>under</w:t>
      </w:r>
      <w:r>
        <w:rPr>
          <w:spacing w:val="56"/>
          <w:sz w:val="24"/>
        </w:rPr>
        <w:t xml:space="preserve"> </w:t>
      </w:r>
      <w:r>
        <w:rPr>
          <w:sz w:val="24"/>
        </w:rPr>
        <w:t>§667.130(c)</w:t>
      </w:r>
      <w:r>
        <w:rPr>
          <w:spacing w:val="56"/>
          <w:sz w:val="24"/>
        </w:rPr>
        <w:t xml:space="preserve"> </w:t>
      </w:r>
      <w:r>
        <w:rPr>
          <w:sz w:val="24"/>
        </w:rPr>
        <w:t>and</w:t>
      </w:r>
      <w:r>
        <w:rPr>
          <w:spacing w:val="57"/>
          <w:sz w:val="24"/>
        </w:rPr>
        <w:t xml:space="preserve"> </w:t>
      </w:r>
      <w:r>
        <w:rPr>
          <w:sz w:val="24"/>
        </w:rPr>
        <w:t>to</w:t>
      </w:r>
      <w:r>
        <w:rPr>
          <w:spacing w:val="57"/>
          <w:sz w:val="24"/>
        </w:rPr>
        <w:t xml:space="preserve"> </w:t>
      </w:r>
      <w:r>
        <w:rPr>
          <w:sz w:val="24"/>
        </w:rPr>
        <w:t>allocations</w:t>
      </w:r>
      <w:r>
        <w:rPr>
          <w:spacing w:val="40"/>
          <w:sz w:val="24"/>
        </w:rPr>
        <w:t xml:space="preserve"> </w:t>
      </w:r>
      <w:r>
        <w:rPr>
          <w:sz w:val="24"/>
        </w:rPr>
        <w:t>of</w:t>
      </w:r>
      <w:r>
        <w:rPr>
          <w:spacing w:val="40"/>
          <w:sz w:val="24"/>
        </w:rPr>
        <w:t xml:space="preserve"> </w:t>
      </w:r>
      <w:r>
        <w:rPr>
          <w:sz w:val="24"/>
        </w:rPr>
        <w:t>WIA</w:t>
      </w:r>
      <w:r>
        <w:rPr>
          <w:spacing w:val="40"/>
          <w:sz w:val="24"/>
        </w:rPr>
        <w:t xml:space="preserve"> </w:t>
      </w:r>
      <w:r>
        <w:rPr>
          <w:sz w:val="24"/>
        </w:rPr>
        <w:t>adult</w:t>
      </w:r>
      <w:r>
        <w:rPr>
          <w:spacing w:val="40"/>
          <w:sz w:val="24"/>
        </w:rPr>
        <w:t xml:space="preserve"> </w:t>
      </w:r>
      <w:r>
        <w:rPr>
          <w:sz w:val="24"/>
        </w:rPr>
        <w:t>funds</w:t>
      </w:r>
      <w:r>
        <w:rPr>
          <w:spacing w:val="40"/>
          <w:sz w:val="24"/>
        </w:rPr>
        <w:t xml:space="preserve"> </w:t>
      </w:r>
      <w:r>
        <w:rPr>
          <w:sz w:val="24"/>
        </w:rPr>
        <w:t>under</w:t>
      </w:r>
    </w:p>
    <w:p w14:paraId="1A3BD7C8" w14:textId="77777777" w:rsidR="006E6645" w:rsidRDefault="003C0AE5">
      <w:pPr>
        <w:pStyle w:val="BodyText"/>
        <w:spacing w:line="272" w:lineRule="exact"/>
        <w:ind w:left="1580"/>
      </w:pPr>
      <w:r>
        <w:rPr>
          <w:spacing w:val="-2"/>
        </w:rPr>
        <w:t>§667.130(d).</w:t>
      </w:r>
    </w:p>
    <w:p w14:paraId="1A3BD7C9" w14:textId="77777777" w:rsidR="006E6645" w:rsidRDefault="006E6645">
      <w:pPr>
        <w:pStyle w:val="BodyText"/>
        <w:spacing w:before="14"/>
      </w:pPr>
    </w:p>
    <w:p w14:paraId="1A3BD7CA" w14:textId="77777777" w:rsidR="006E6645" w:rsidRDefault="003C0AE5">
      <w:pPr>
        <w:pStyle w:val="ListParagraph"/>
        <w:numPr>
          <w:ilvl w:val="0"/>
          <w:numId w:val="2"/>
        </w:numPr>
        <w:tabs>
          <w:tab w:val="left" w:pos="1827"/>
        </w:tabs>
        <w:spacing w:line="247" w:lineRule="auto"/>
        <w:ind w:right="134" w:firstLine="0"/>
        <w:jc w:val="both"/>
        <w:rPr>
          <w:sz w:val="24"/>
        </w:rPr>
      </w:pPr>
      <w:r>
        <w:rPr>
          <w:sz w:val="24"/>
        </w:rPr>
        <w:t xml:space="preserve">Effective at the end of the second full fiscal year after the date on which a local </w:t>
      </w:r>
      <w:r>
        <w:rPr>
          <w:spacing w:val="-4"/>
          <w:sz w:val="24"/>
        </w:rPr>
        <w:t>area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is designated under section 116 of WIA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State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must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apply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“hold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harmless” specified in paragraph (B) of this section to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local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area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allocations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WIA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youth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 xml:space="preserve">funds </w:t>
      </w:r>
      <w:r>
        <w:rPr>
          <w:sz w:val="24"/>
        </w:rPr>
        <w:t>under §667.130(c) and to allocations of WIA adult funds under §667.130(d).</w:t>
      </w:r>
    </w:p>
    <w:p w14:paraId="1A3BD7CB" w14:textId="77777777" w:rsidR="006E6645" w:rsidRDefault="006E6645">
      <w:pPr>
        <w:pStyle w:val="BodyText"/>
        <w:spacing w:before="3"/>
      </w:pPr>
    </w:p>
    <w:p w14:paraId="1A3BD7CC" w14:textId="77777777" w:rsidR="006E6645" w:rsidRDefault="003C0AE5">
      <w:pPr>
        <w:pStyle w:val="ListParagraph"/>
        <w:numPr>
          <w:ilvl w:val="0"/>
          <w:numId w:val="2"/>
        </w:numPr>
        <w:tabs>
          <w:tab w:val="left" w:pos="1836"/>
        </w:tabs>
        <w:spacing w:line="247" w:lineRule="auto"/>
        <w:ind w:right="140" w:firstLine="0"/>
        <w:jc w:val="both"/>
        <w:rPr>
          <w:sz w:val="24"/>
        </w:rPr>
      </w:pPr>
      <w:r>
        <w:rPr>
          <w:sz w:val="24"/>
        </w:rPr>
        <w:t>There are no “hold harmless” provisions that apply to local area allocations of WIA dislocated worker funds.</w:t>
      </w:r>
    </w:p>
    <w:p w14:paraId="1A3BD7CD" w14:textId="77777777" w:rsidR="006E6645" w:rsidRDefault="006E6645">
      <w:pPr>
        <w:pStyle w:val="BodyText"/>
        <w:spacing w:before="6"/>
      </w:pPr>
    </w:p>
    <w:p w14:paraId="1A3BD7CE" w14:textId="77777777" w:rsidR="006E6645" w:rsidRDefault="003C0AE5">
      <w:pPr>
        <w:pStyle w:val="ListParagraph"/>
        <w:numPr>
          <w:ilvl w:val="1"/>
          <w:numId w:val="3"/>
        </w:numPr>
        <w:tabs>
          <w:tab w:val="left" w:pos="1580"/>
        </w:tabs>
        <w:spacing w:line="247" w:lineRule="auto"/>
        <w:ind w:left="1580" w:right="133" w:hanging="720"/>
        <w:jc w:val="both"/>
        <w:rPr>
          <w:sz w:val="24"/>
        </w:rPr>
      </w:pPr>
      <w:r>
        <w:rPr>
          <w:sz w:val="24"/>
        </w:rPr>
        <w:t>1.</w:t>
      </w:r>
      <w:r>
        <w:rPr>
          <w:spacing w:val="-15"/>
          <w:sz w:val="24"/>
        </w:rPr>
        <w:t xml:space="preserve"> </w:t>
      </w:r>
      <w:r>
        <w:rPr>
          <w:sz w:val="24"/>
        </w:rPr>
        <w:t>If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State</w:t>
      </w:r>
      <w:r>
        <w:rPr>
          <w:spacing w:val="-15"/>
          <w:sz w:val="24"/>
        </w:rPr>
        <w:t xml:space="preserve"> </w:t>
      </w:r>
      <w:r>
        <w:rPr>
          <w:sz w:val="24"/>
        </w:rPr>
        <w:t>elects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apply</w:t>
      </w:r>
      <w:r>
        <w:rPr>
          <w:spacing w:val="-15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“hold-harmless”</w:t>
      </w:r>
      <w:r>
        <w:rPr>
          <w:spacing w:val="-15"/>
          <w:sz w:val="24"/>
        </w:rPr>
        <w:t xml:space="preserve"> </w:t>
      </w:r>
      <w:r>
        <w:rPr>
          <w:sz w:val="24"/>
        </w:rPr>
        <w:t>under</w:t>
      </w:r>
      <w:r>
        <w:rPr>
          <w:spacing w:val="-15"/>
          <w:sz w:val="24"/>
        </w:rPr>
        <w:t xml:space="preserve"> </w:t>
      </w:r>
      <w:r>
        <w:rPr>
          <w:sz w:val="24"/>
        </w:rPr>
        <w:t>paragraph</w:t>
      </w:r>
      <w:r>
        <w:rPr>
          <w:spacing w:val="-15"/>
          <w:sz w:val="24"/>
        </w:rPr>
        <w:t xml:space="preserve"> </w:t>
      </w:r>
      <w:r>
        <w:rPr>
          <w:sz w:val="24"/>
        </w:rPr>
        <w:t>(A)(1)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this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section, </w:t>
      </w:r>
      <w:r>
        <w:rPr>
          <w:spacing w:val="-2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local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area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must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not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receive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allocation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amount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fiscal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year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that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less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than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90 </w:t>
      </w:r>
      <w:r>
        <w:rPr>
          <w:sz w:val="24"/>
        </w:rPr>
        <w:t>percent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average</w:t>
      </w:r>
      <w:r>
        <w:rPr>
          <w:spacing w:val="-14"/>
          <w:sz w:val="24"/>
        </w:rPr>
        <w:t xml:space="preserve"> </w:t>
      </w:r>
      <w:r>
        <w:rPr>
          <w:sz w:val="24"/>
        </w:rPr>
        <w:t>allocation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local</w:t>
      </w:r>
      <w:r>
        <w:rPr>
          <w:spacing w:val="-12"/>
          <w:sz w:val="24"/>
        </w:rPr>
        <w:t xml:space="preserve"> </w:t>
      </w:r>
      <w:r>
        <w:rPr>
          <w:sz w:val="24"/>
        </w:rPr>
        <w:t>area</w:t>
      </w:r>
      <w:r>
        <w:rPr>
          <w:spacing w:val="-14"/>
          <w:sz w:val="24"/>
        </w:rPr>
        <w:t xml:space="preserve"> </w:t>
      </w:r>
      <w:r>
        <w:rPr>
          <w:sz w:val="24"/>
        </w:rPr>
        <w:t>for</w:t>
      </w:r>
      <w:r>
        <w:rPr>
          <w:spacing w:val="-14"/>
          <w:sz w:val="24"/>
        </w:rPr>
        <w:t xml:space="preserve"> </w:t>
      </w: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z w:val="24"/>
        </w:rPr>
        <w:t>two</w:t>
      </w:r>
      <w:r>
        <w:rPr>
          <w:spacing w:val="-10"/>
          <w:sz w:val="24"/>
        </w:rPr>
        <w:t xml:space="preserve"> </w:t>
      </w:r>
      <w:r>
        <w:rPr>
          <w:sz w:val="24"/>
        </w:rPr>
        <w:t>preceding</w:t>
      </w:r>
      <w:r>
        <w:rPr>
          <w:spacing w:val="-14"/>
          <w:sz w:val="24"/>
        </w:rPr>
        <w:t xml:space="preserve"> </w:t>
      </w:r>
      <w:r>
        <w:rPr>
          <w:sz w:val="24"/>
        </w:rPr>
        <w:t>fiscal</w:t>
      </w:r>
      <w:r>
        <w:rPr>
          <w:spacing w:val="-12"/>
          <w:sz w:val="24"/>
        </w:rPr>
        <w:t xml:space="preserve"> </w:t>
      </w:r>
      <w:r>
        <w:rPr>
          <w:sz w:val="24"/>
        </w:rPr>
        <w:t>years.</w:t>
      </w:r>
    </w:p>
    <w:p w14:paraId="1A3BD7CF" w14:textId="77777777" w:rsidR="006E6645" w:rsidRDefault="006E6645">
      <w:pPr>
        <w:pStyle w:val="BodyText"/>
        <w:spacing w:before="4"/>
      </w:pPr>
    </w:p>
    <w:p w14:paraId="1A3BD7D0" w14:textId="77777777" w:rsidR="006E6645" w:rsidRDefault="003C0AE5">
      <w:pPr>
        <w:pStyle w:val="ListParagraph"/>
        <w:numPr>
          <w:ilvl w:val="0"/>
          <w:numId w:val="1"/>
        </w:numPr>
        <w:tabs>
          <w:tab w:val="left" w:pos="1805"/>
        </w:tabs>
        <w:spacing w:line="247" w:lineRule="auto"/>
        <w:ind w:right="133" w:firstLine="0"/>
        <w:jc w:val="both"/>
        <w:rPr>
          <w:sz w:val="24"/>
        </w:rPr>
      </w:pPr>
      <w:r>
        <w:rPr>
          <w:spacing w:val="-2"/>
          <w:sz w:val="24"/>
        </w:rPr>
        <w:t>In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applying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“hold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harmless”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under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paragraph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(A)(2)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this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section,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local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area </w:t>
      </w:r>
      <w:r>
        <w:rPr>
          <w:sz w:val="24"/>
        </w:rPr>
        <w:t>must</w:t>
      </w:r>
      <w:r>
        <w:rPr>
          <w:spacing w:val="-10"/>
          <w:sz w:val="24"/>
        </w:rPr>
        <w:t xml:space="preserve"> </w:t>
      </w:r>
      <w:r>
        <w:rPr>
          <w:sz w:val="24"/>
        </w:rPr>
        <w:t>not</w:t>
      </w:r>
      <w:r>
        <w:rPr>
          <w:spacing w:val="-10"/>
          <w:sz w:val="24"/>
        </w:rPr>
        <w:t xml:space="preserve"> </w:t>
      </w:r>
      <w:r>
        <w:rPr>
          <w:sz w:val="24"/>
        </w:rPr>
        <w:t>receive</w:t>
      </w:r>
      <w:r>
        <w:rPr>
          <w:spacing w:val="-11"/>
          <w:sz w:val="24"/>
        </w:rPr>
        <w:t xml:space="preserve"> </w:t>
      </w:r>
      <w:r>
        <w:rPr>
          <w:sz w:val="24"/>
        </w:rPr>
        <w:t>an</w:t>
      </w:r>
      <w:r>
        <w:rPr>
          <w:spacing w:val="-11"/>
          <w:sz w:val="24"/>
        </w:rPr>
        <w:t xml:space="preserve"> </w:t>
      </w:r>
      <w:r>
        <w:rPr>
          <w:sz w:val="24"/>
        </w:rPr>
        <w:t>allocation</w:t>
      </w:r>
      <w:r>
        <w:rPr>
          <w:spacing w:val="-11"/>
          <w:sz w:val="24"/>
        </w:rPr>
        <w:t xml:space="preserve"> </w:t>
      </w:r>
      <w:r>
        <w:rPr>
          <w:sz w:val="24"/>
        </w:rPr>
        <w:t>amount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fiscal</w:t>
      </w:r>
      <w:r>
        <w:rPr>
          <w:spacing w:val="-13"/>
          <w:sz w:val="24"/>
        </w:rPr>
        <w:t xml:space="preserve"> </w:t>
      </w:r>
      <w:r>
        <w:rPr>
          <w:sz w:val="24"/>
        </w:rPr>
        <w:t>year</w:t>
      </w:r>
      <w:r>
        <w:rPr>
          <w:spacing w:val="-14"/>
          <w:sz w:val="24"/>
        </w:rPr>
        <w:t xml:space="preserve"> </w:t>
      </w:r>
      <w:r>
        <w:rPr>
          <w:sz w:val="24"/>
        </w:rPr>
        <w:t>that</w:t>
      </w:r>
      <w:r>
        <w:rPr>
          <w:spacing w:val="-13"/>
          <w:sz w:val="24"/>
        </w:rPr>
        <w:t xml:space="preserve"> </w:t>
      </w:r>
      <w:r>
        <w:rPr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z w:val="24"/>
        </w:rPr>
        <w:t>less</w:t>
      </w:r>
      <w:r>
        <w:rPr>
          <w:spacing w:val="-13"/>
          <w:sz w:val="24"/>
        </w:rPr>
        <w:t xml:space="preserve"> </w:t>
      </w:r>
      <w:r>
        <w:rPr>
          <w:sz w:val="24"/>
        </w:rPr>
        <w:t>than</w:t>
      </w:r>
      <w:r>
        <w:rPr>
          <w:spacing w:val="-14"/>
          <w:sz w:val="24"/>
        </w:rPr>
        <w:t xml:space="preserve"> </w:t>
      </w:r>
      <w:r>
        <w:rPr>
          <w:sz w:val="24"/>
        </w:rPr>
        <w:t>90</w:t>
      </w:r>
      <w:r>
        <w:rPr>
          <w:spacing w:val="-13"/>
          <w:sz w:val="24"/>
        </w:rPr>
        <w:t xml:space="preserve"> </w:t>
      </w:r>
      <w:r>
        <w:rPr>
          <w:sz w:val="24"/>
        </w:rPr>
        <w:t>percent</w:t>
      </w:r>
      <w:r>
        <w:rPr>
          <w:spacing w:val="-13"/>
          <w:sz w:val="24"/>
        </w:rPr>
        <w:t xml:space="preserve"> </w:t>
      </w:r>
      <w:r>
        <w:rPr>
          <w:sz w:val="24"/>
        </w:rPr>
        <w:t>of the average allocation of the local area for the two preceding fiscal years.</w:t>
      </w:r>
    </w:p>
    <w:p w14:paraId="1A3BD7D1" w14:textId="77777777" w:rsidR="006E6645" w:rsidRDefault="006E6645">
      <w:pPr>
        <w:pStyle w:val="BodyText"/>
        <w:spacing w:before="4"/>
      </w:pPr>
    </w:p>
    <w:p w14:paraId="1A3BD7D2" w14:textId="77777777" w:rsidR="006E6645" w:rsidRDefault="003C0AE5">
      <w:pPr>
        <w:pStyle w:val="ListParagraph"/>
        <w:numPr>
          <w:ilvl w:val="0"/>
          <w:numId w:val="1"/>
        </w:numPr>
        <w:tabs>
          <w:tab w:val="left" w:pos="1846"/>
        </w:tabs>
        <w:spacing w:line="247" w:lineRule="auto"/>
        <w:ind w:right="131" w:firstLine="0"/>
        <w:jc w:val="both"/>
        <w:rPr>
          <w:sz w:val="24"/>
        </w:rPr>
      </w:pPr>
      <w:r>
        <w:rPr>
          <w:sz w:val="24"/>
        </w:rPr>
        <w:t>Amounts necessary to increase allocations to local areas must be obtained by ratably reducing the allocations to be made to other local areas.</w:t>
      </w:r>
    </w:p>
    <w:p w14:paraId="1A3BD7D3" w14:textId="77777777" w:rsidR="006E6645" w:rsidRDefault="006E6645">
      <w:pPr>
        <w:pStyle w:val="BodyText"/>
        <w:spacing w:before="5"/>
      </w:pPr>
    </w:p>
    <w:p w14:paraId="1A3BD7D4" w14:textId="77777777" w:rsidR="006E6645" w:rsidRDefault="003C0AE5">
      <w:pPr>
        <w:pStyle w:val="ListParagraph"/>
        <w:numPr>
          <w:ilvl w:val="0"/>
          <w:numId w:val="1"/>
        </w:numPr>
        <w:tabs>
          <w:tab w:val="left" w:pos="1839"/>
        </w:tabs>
        <w:spacing w:line="247" w:lineRule="auto"/>
        <w:ind w:right="132" w:firstLine="0"/>
        <w:jc w:val="both"/>
        <w:rPr>
          <w:sz w:val="24"/>
        </w:rPr>
      </w:pPr>
      <w:r>
        <w:rPr>
          <w:sz w:val="24"/>
        </w:rPr>
        <w:t xml:space="preserve">If the amounts of WIA funds appropriated in a fiscal year are not sufficient to </w:t>
      </w:r>
      <w:r>
        <w:rPr>
          <w:spacing w:val="-2"/>
          <w:sz w:val="24"/>
        </w:rPr>
        <w:t>provide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amount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specified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paragraph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(B)(1)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section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all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local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areas,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the </w:t>
      </w:r>
      <w:r>
        <w:rPr>
          <w:sz w:val="24"/>
        </w:rPr>
        <w:t>amounts allocated to each local area must be ratably reduced. (WIA secs. 128(b)(2)(A)(ii), 133(b)(2)(A)(ii), 506.)</w:t>
      </w:r>
    </w:p>
    <w:p w14:paraId="1A3BD7D5" w14:textId="77777777" w:rsidR="006E6645" w:rsidRDefault="006E6645">
      <w:pPr>
        <w:spacing w:line="247" w:lineRule="auto"/>
        <w:jc w:val="both"/>
        <w:rPr>
          <w:sz w:val="24"/>
        </w:rPr>
        <w:sectPr w:rsidR="006E6645">
          <w:pgSz w:w="12240" w:h="15840"/>
          <w:pgMar w:top="1660" w:right="1300" w:bottom="1320" w:left="1300" w:header="0" w:footer="1139" w:gutter="0"/>
          <w:cols w:space="720"/>
        </w:sectPr>
      </w:pPr>
    </w:p>
    <w:p w14:paraId="1A3BD7D6" w14:textId="77777777" w:rsidR="006E6645" w:rsidRDefault="003C0AE5">
      <w:pPr>
        <w:pStyle w:val="ListParagraph"/>
        <w:numPr>
          <w:ilvl w:val="0"/>
          <w:numId w:val="3"/>
        </w:numPr>
        <w:tabs>
          <w:tab w:val="left" w:pos="827"/>
        </w:tabs>
        <w:spacing w:before="70"/>
        <w:ind w:left="827" w:hanging="687"/>
        <w:rPr>
          <w:b/>
          <w:sz w:val="24"/>
        </w:rPr>
      </w:pPr>
      <w:r>
        <w:rPr>
          <w:b/>
          <w:spacing w:val="-2"/>
          <w:sz w:val="24"/>
        </w:rPr>
        <w:lastRenderedPageBreak/>
        <w:t>Reallotment:</w:t>
      </w:r>
    </w:p>
    <w:p w14:paraId="1A3BD7D7" w14:textId="77777777" w:rsidR="006E6645" w:rsidRDefault="006E6645">
      <w:pPr>
        <w:pStyle w:val="BodyText"/>
        <w:spacing w:before="9"/>
        <w:rPr>
          <w:b/>
        </w:rPr>
      </w:pPr>
    </w:p>
    <w:p w14:paraId="1A3BD7D8" w14:textId="77777777" w:rsidR="006E6645" w:rsidRDefault="003C0AE5">
      <w:pPr>
        <w:pStyle w:val="ListParagraph"/>
        <w:numPr>
          <w:ilvl w:val="1"/>
          <w:numId w:val="3"/>
        </w:numPr>
        <w:tabs>
          <w:tab w:val="left" w:pos="1578"/>
          <w:tab w:val="left" w:pos="1580"/>
        </w:tabs>
        <w:spacing w:line="247" w:lineRule="auto"/>
        <w:ind w:left="1580" w:right="137" w:hanging="809"/>
        <w:jc w:val="both"/>
        <w:rPr>
          <w:sz w:val="24"/>
        </w:rPr>
      </w:pPr>
      <w:r>
        <w:rPr>
          <w:sz w:val="24"/>
        </w:rPr>
        <w:t>Reallotment</w:t>
      </w:r>
      <w:r>
        <w:rPr>
          <w:spacing w:val="-15"/>
          <w:sz w:val="24"/>
        </w:rPr>
        <w:t xml:space="preserve"> </w:t>
      </w:r>
      <w:r>
        <w:rPr>
          <w:sz w:val="24"/>
        </w:rPr>
        <w:t>occurs</w:t>
      </w:r>
      <w:r>
        <w:rPr>
          <w:spacing w:val="-15"/>
          <w:sz w:val="24"/>
        </w:rPr>
        <w:t xml:space="preserve"> </w:t>
      </w:r>
      <w:r>
        <w:rPr>
          <w:sz w:val="24"/>
        </w:rPr>
        <w:t>between</w:t>
      </w:r>
      <w:r>
        <w:rPr>
          <w:spacing w:val="-15"/>
          <w:sz w:val="24"/>
        </w:rPr>
        <w:t xml:space="preserve"> </w:t>
      </w:r>
      <w:r>
        <w:rPr>
          <w:sz w:val="24"/>
        </w:rPr>
        <w:t>states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5"/>
          <w:sz w:val="24"/>
        </w:rPr>
        <w:t xml:space="preserve"> </w:t>
      </w:r>
      <w:r>
        <w:rPr>
          <w:sz w:val="24"/>
        </w:rPr>
        <w:t>is</w:t>
      </w:r>
      <w:r>
        <w:rPr>
          <w:spacing w:val="-15"/>
          <w:sz w:val="24"/>
        </w:rPr>
        <w:t xml:space="preserve"> </w:t>
      </w:r>
      <w:r>
        <w:rPr>
          <w:sz w:val="24"/>
        </w:rPr>
        <w:t>initiated</w:t>
      </w:r>
      <w:r>
        <w:rPr>
          <w:spacing w:val="-15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U.S.</w:t>
      </w:r>
      <w:r>
        <w:rPr>
          <w:spacing w:val="-15"/>
          <w:sz w:val="24"/>
        </w:rPr>
        <w:t xml:space="preserve"> </w:t>
      </w:r>
      <w:r>
        <w:rPr>
          <w:sz w:val="24"/>
        </w:rPr>
        <w:t>Department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Labor. </w:t>
      </w:r>
      <w:r>
        <w:rPr>
          <w:spacing w:val="-2"/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state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eligible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receive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reallotment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youth,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adult,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dislocated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worker </w:t>
      </w:r>
      <w:r>
        <w:rPr>
          <w:sz w:val="24"/>
        </w:rPr>
        <w:t>funds, a state must have obligated at least 80 percent of the prior program year allotment, less any amount reserved for the costs of administration.</w:t>
      </w:r>
      <w:r>
        <w:rPr>
          <w:spacing w:val="40"/>
          <w:sz w:val="24"/>
        </w:rPr>
        <w:t xml:space="preserve"> </w:t>
      </w:r>
      <w:r>
        <w:rPr>
          <w:sz w:val="24"/>
        </w:rPr>
        <w:t>A state’s eligibility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receive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reallotment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separately</w:t>
      </w:r>
      <w:r>
        <w:rPr>
          <w:spacing w:val="-15"/>
          <w:sz w:val="24"/>
        </w:rPr>
        <w:t xml:space="preserve"> </w:t>
      </w:r>
      <w:r>
        <w:rPr>
          <w:sz w:val="24"/>
        </w:rPr>
        <w:t>determined</w:t>
      </w:r>
      <w:r>
        <w:rPr>
          <w:spacing w:val="-10"/>
          <w:sz w:val="24"/>
        </w:rPr>
        <w:t xml:space="preserve"> </w:t>
      </w:r>
      <w:r>
        <w:rPr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z w:val="24"/>
        </w:rPr>
        <w:t>each</w:t>
      </w:r>
      <w:r>
        <w:rPr>
          <w:spacing w:val="-10"/>
          <w:sz w:val="24"/>
        </w:rPr>
        <w:t xml:space="preserve"> </w:t>
      </w:r>
      <w:r>
        <w:rPr>
          <w:sz w:val="24"/>
        </w:rPr>
        <w:t>funding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stream </w:t>
      </w:r>
      <w:r>
        <w:rPr>
          <w:spacing w:val="-2"/>
          <w:sz w:val="24"/>
        </w:rPr>
        <w:t>[§667.150(c)].</w:t>
      </w:r>
    </w:p>
    <w:p w14:paraId="1A3BD7D9" w14:textId="77777777" w:rsidR="006E6645" w:rsidRDefault="006E6645">
      <w:pPr>
        <w:pStyle w:val="BodyText"/>
        <w:spacing w:before="1"/>
      </w:pPr>
    </w:p>
    <w:p w14:paraId="1A3BD7DA" w14:textId="77777777" w:rsidR="006E6645" w:rsidRDefault="003C0AE5">
      <w:pPr>
        <w:pStyle w:val="ListParagraph"/>
        <w:numPr>
          <w:ilvl w:val="1"/>
          <w:numId w:val="3"/>
        </w:numPr>
        <w:tabs>
          <w:tab w:val="left" w:pos="1580"/>
        </w:tabs>
        <w:spacing w:line="247" w:lineRule="auto"/>
        <w:ind w:left="1580" w:right="134" w:hanging="720"/>
        <w:jc w:val="both"/>
        <w:rPr>
          <w:sz w:val="24"/>
        </w:rPr>
      </w:pPr>
      <w:r>
        <w:rPr>
          <w:spacing w:val="-2"/>
          <w:sz w:val="24"/>
        </w:rPr>
        <w:t>If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Nevada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subject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losing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funds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due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under-expenditure,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only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those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 xml:space="preserve">responsible </w:t>
      </w:r>
      <w:r>
        <w:rPr>
          <w:sz w:val="24"/>
        </w:rPr>
        <w:t>for the under-expenditure will incur a loss of funding.</w:t>
      </w:r>
    </w:p>
    <w:p w14:paraId="1A3BD7DB" w14:textId="77777777" w:rsidR="006E6645" w:rsidRDefault="006E6645">
      <w:pPr>
        <w:pStyle w:val="BodyText"/>
        <w:spacing w:before="10"/>
      </w:pPr>
    </w:p>
    <w:p w14:paraId="1A3BD7DC" w14:textId="77777777" w:rsidR="006E6645" w:rsidRDefault="003C0AE5">
      <w:pPr>
        <w:pStyle w:val="ListParagraph"/>
        <w:numPr>
          <w:ilvl w:val="0"/>
          <w:numId w:val="3"/>
        </w:numPr>
        <w:tabs>
          <w:tab w:val="left" w:pos="771"/>
          <w:tab w:val="left" w:pos="1580"/>
        </w:tabs>
        <w:spacing w:before="1" w:line="247" w:lineRule="auto"/>
        <w:ind w:left="1580" w:right="134" w:hanging="1440"/>
        <w:rPr>
          <w:sz w:val="24"/>
        </w:rPr>
      </w:pPr>
      <w:r>
        <w:rPr>
          <w:b/>
          <w:spacing w:val="-2"/>
          <w:sz w:val="24"/>
        </w:rPr>
        <w:t>Period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of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Availability:</w:t>
      </w:r>
      <w:r>
        <w:rPr>
          <w:b/>
          <w:spacing w:val="40"/>
          <w:sz w:val="24"/>
        </w:rPr>
        <w:t xml:space="preserve"> </w:t>
      </w:r>
      <w:r>
        <w:rPr>
          <w:spacing w:val="-2"/>
          <w:sz w:val="24"/>
        </w:rPr>
        <w:t>Funds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not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expended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two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(2)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year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period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(program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year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 xml:space="preserve">the </w:t>
      </w:r>
      <w:r>
        <w:rPr>
          <w:sz w:val="24"/>
        </w:rPr>
        <w:t>succeeding program year) must be returned to the state [§667.107(b)(2)(i and ii)].</w:t>
      </w:r>
    </w:p>
    <w:p w14:paraId="1A3BD7DD" w14:textId="77777777" w:rsidR="006E6645" w:rsidRDefault="006E6645">
      <w:pPr>
        <w:pStyle w:val="BodyText"/>
        <w:spacing w:before="5"/>
      </w:pPr>
    </w:p>
    <w:p w14:paraId="1A3BD7DE" w14:textId="77777777" w:rsidR="006E6645" w:rsidRDefault="003C0AE5">
      <w:pPr>
        <w:pStyle w:val="ListParagraph"/>
        <w:numPr>
          <w:ilvl w:val="1"/>
          <w:numId w:val="3"/>
        </w:numPr>
        <w:tabs>
          <w:tab w:val="left" w:pos="1580"/>
        </w:tabs>
        <w:spacing w:line="247" w:lineRule="auto"/>
        <w:ind w:left="1580" w:right="135" w:hanging="720"/>
        <w:jc w:val="both"/>
        <w:rPr>
          <w:sz w:val="24"/>
        </w:rPr>
      </w:pPr>
      <w:r>
        <w:rPr>
          <w:sz w:val="24"/>
        </w:rPr>
        <w:t xml:space="preserve">Returned funds are available for expenditure and may be used during the third </w:t>
      </w:r>
      <w:r>
        <w:rPr>
          <w:spacing w:val="-2"/>
          <w:sz w:val="24"/>
        </w:rPr>
        <w:t>program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year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availability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for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statewide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projects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they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may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distributed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other </w:t>
      </w:r>
      <w:r>
        <w:rPr>
          <w:sz w:val="24"/>
        </w:rPr>
        <w:t>local area</w:t>
      </w:r>
      <w:r>
        <w:rPr>
          <w:color w:val="993366"/>
          <w:sz w:val="24"/>
        </w:rPr>
        <w:t xml:space="preserve">s </w:t>
      </w:r>
      <w:r>
        <w:rPr>
          <w:sz w:val="24"/>
        </w:rPr>
        <w:t>if the local area has fully</w:t>
      </w:r>
      <w:r>
        <w:rPr>
          <w:spacing w:val="-3"/>
          <w:sz w:val="24"/>
        </w:rPr>
        <w:t xml:space="preserve"> </w:t>
      </w:r>
      <w:r>
        <w:rPr>
          <w:sz w:val="24"/>
        </w:rPr>
        <w:t>expended its allocation of funds for the same program year within the two-year period.</w:t>
      </w:r>
    </w:p>
    <w:p w14:paraId="1A3BD7DF" w14:textId="77777777" w:rsidR="006E6645" w:rsidRDefault="006E6645">
      <w:pPr>
        <w:pStyle w:val="BodyText"/>
        <w:spacing w:before="3"/>
      </w:pPr>
    </w:p>
    <w:p w14:paraId="1A3BD7E0" w14:textId="77777777" w:rsidR="006E6645" w:rsidRDefault="003C0AE5">
      <w:pPr>
        <w:pStyle w:val="ListParagraph"/>
        <w:numPr>
          <w:ilvl w:val="1"/>
          <w:numId w:val="3"/>
        </w:numPr>
        <w:tabs>
          <w:tab w:val="left" w:pos="1580"/>
        </w:tabs>
        <w:spacing w:line="247" w:lineRule="auto"/>
        <w:ind w:left="1580" w:right="138" w:hanging="720"/>
        <w:jc w:val="both"/>
        <w:rPr>
          <w:sz w:val="24"/>
        </w:rPr>
      </w:pPr>
      <w:r>
        <w:rPr>
          <w:sz w:val="24"/>
        </w:rPr>
        <w:t xml:space="preserve">Funds will be tracked separately by year of appropriation and identified by cost </w:t>
      </w:r>
      <w:r>
        <w:rPr>
          <w:spacing w:val="-2"/>
          <w:sz w:val="24"/>
        </w:rPr>
        <w:t>category.</w:t>
      </w:r>
    </w:p>
    <w:sectPr w:rsidR="006E6645">
      <w:pgSz w:w="12240" w:h="15840"/>
      <w:pgMar w:top="1660" w:right="1300" w:bottom="1320" w:left="1300" w:header="0" w:footer="11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C18FF" w14:textId="77777777" w:rsidR="003C0AE5" w:rsidRDefault="003C0AE5">
      <w:r>
        <w:separator/>
      </w:r>
    </w:p>
  </w:endnote>
  <w:endnote w:type="continuationSeparator" w:id="0">
    <w:p w14:paraId="370F7025" w14:textId="77777777" w:rsidR="003C0AE5" w:rsidRDefault="003C0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BD7E5" w14:textId="77777777" w:rsidR="006E6645" w:rsidRDefault="003C0AE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33056" behindDoc="1" locked="0" layoutInCell="1" allowOverlap="1" wp14:anchorId="1A3BD7E6" wp14:editId="1A3BD7E7">
              <wp:simplePos x="0" y="0"/>
              <wp:positionH relativeFrom="page">
                <wp:posOffset>902004</wp:posOffset>
              </wp:positionH>
              <wp:positionV relativeFrom="page">
                <wp:posOffset>9195287</wp:posOffset>
              </wp:positionV>
              <wp:extent cx="3270250" cy="49403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0250" cy="494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9A0FBF" w14:textId="77777777" w:rsidR="00044370" w:rsidRDefault="003C0AE5">
                          <w:pPr>
                            <w:spacing w:before="11" w:line="244" w:lineRule="auto"/>
                            <w:ind w:left="20" w:right="1543"/>
                            <w:rPr>
                              <w:spacing w:val="40"/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DETR/ESD/Workforce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 w:rsidR="00044370">
                            <w:rPr>
                              <w:spacing w:val="-2"/>
                              <w:sz w:val="16"/>
                            </w:rPr>
                            <w:t>Programs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</w:p>
                        <w:p w14:paraId="1A3BD7EA" w14:textId="515AC75C" w:rsidR="006E6645" w:rsidRDefault="003C0AE5">
                          <w:pPr>
                            <w:spacing w:before="11" w:line="244" w:lineRule="auto"/>
                            <w:ind w:left="20" w:right="1543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WI</w:t>
                          </w:r>
                          <w:r w:rsidR="00044370">
                            <w:rPr>
                              <w:sz w:val="16"/>
                            </w:rPr>
                            <w:t>O</w:t>
                          </w:r>
                          <w:r>
                            <w:rPr>
                              <w:sz w:val="16"/>
                            </w:rPr>
                            <w:t>A State Compliance Policies</w:t>
                          </w:r>
                        </w:p>
                        <w:p w14:paraId="1A3BD7EB" w14:textId="5D3BF490" w:rsidR="006E6645" w:rsidRDefault="003C0AE5">
                          <w:pPr>
                            <w:spacing w:line="244" w:lineRule="auto"/>
                            <w:ind w:left="20" w:right="16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</w:t>
                          </w:r>
                          <w:r w:rsidR="00044370">
                            <w:rPr>
                              <w:sz w:val="16"/>
                            </w:rPr>
                            <w:t>CP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3.3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Carry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Forward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Funds,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Reallocation,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Reallotment,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and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Life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Funds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January 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3BD7E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724.05pt;width:257.5pt;height:38.9pt;z-index:-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" filled="f" stroked="f">
              <v:textbox inset="0,0,0,0">
                <w:txbxContent>
                  <w:p w14:paraId="209A0FBF" w14:textId="77777777" w:rsidR="00044370" w:rsidRDefault="003C0AE5">
                    <w:pPr>
                      <w:spacing w:before="11" w:line="244" w:lineRule="auto"/>
                      <w:ind w:left="20" w:right="1543"/>
                      <w:rPr>
                        <w:spacing w:val="40"/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DETR/ESD/Workforce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 w:rsidR="00044370">
                      <w:rPr>
                        <w:spacing w:val="-2"/>
                        <w:sz w:val="16"/>
                      </w:rPr>
                      <w:t>Programs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</w:p>
                  <w:p w14:paraId="1A3BD7EA" w14:textId="515AC75C" w:rsidR="006E6645" w:rsidRDefault="003C0AE5">
                    <w:pPr>
                      <w:spacing w:before="11" w:line="244" w:lineRule="auto"/>
                      <w:ind w:left="20" w:right="1543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WI</w:t>
                    </w:r>
                    <w:r w:rsidR="00044370">
                      <w:rPr>
                        <w:sz w:val="16"/>
                      </w:rPr>
                      <w:t>O</w:t>
                    </w:r>
                    <w:r>
                      <w:rPr>
                        <w:sz w:val="16"/>
                      </w:rPr>
                      <w:t>A State Compliance Policies</w:t>
                    </w:r>
                  </w:p>
                  <w:p w14:paraId="1A3BD7EB" w14:textId="5D3BF490" w:rsidR="006E6645" w:rsidRDefault="003C0AE5">
                    <w:pPr>
                      <w:spacing w:line="244" w:lineRule="auto"/>
                      <w:ind w:left="20" w:right="16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</w:t>
                    </w:r>
                    <w:r w:rsidR="00044370">
                      <w:rPr>
                        <w:sz w:val="16"/>
                      </w:rPr>
                      <w:t>CP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3.3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Carry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Forward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Funds,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Reallocation,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Reallotment,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and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Life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Funds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January 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33568" behindDoc="1" locked="0" layoutInCell="1" allowOverlap="1" wp14:anchorId="1A3BD7E8" wp14:editId="1A3BD7E9">
              <wp:simplePos x="0" y="0"/>
              <wp:positionH relativeFrom="page">
                <wp:posOffset>5017389</wp:posOffset>
              </wp:positionH>
              <wp:positionV relativeFrom="page">
                <wp:posOffset>9551903</wp:posOffset>
              </wp:positionV>
              <wp:extent cx="480059" cy="1371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3BD7EC" w14:textId="77777777" w:rsidR="006E6645" w:rsidRDefault="003C0AE5">
                          <w:pPr>
                            <w:spacing w:before="1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3BD7E8" id="Textbox 2" o:spid="_x0000_s1027" type="#_x0000_t202" style="position:absolute;margin-left:395.05pt;margin-top:752.1pt;width:37.8pt;height:10.8pt;z-index:-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" filled="f" stroked="f">
              <v:textbox inset="0,0,0,0">
                <w:txbxContent>
                  <w:p w14:paraId="1A3BD7EC" w14:textId="77777777" w:rsidR="006E6645" w:rsidRDefault="003C0AE5">
                    <w:pPr>
                      <w:spacing w:before="1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3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75C45" w14:textId="77777777" w:rsidR="003C0AE5" w:rsidRDefault="003C0AE5">
      <w:r>
        <w:separator/>
      </w:r>
    </w:p>
  </w:footnote>
  <w:footnote w:type="continuationSeparator" w:id="0">
    <w:p w14:paraId="68C4B6F9" w14:textId="77777777" w:rsidR="003C0AE5" w:rsidRDefault="003C0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C3C9B"/>
    <w:multiLevelType w:val="hybridMultilevel"/>
    <w:tmpl w:val="8F80A062"/>
    <w:lvl w:ilvl="0" w:tplc="431264D8">
      <w:start w:val="2"/>
      <w:numFmt w:val="decimal"/>
      <w:lvlText w:val="%1."/>
      <w:lvlJc w:val="left"/>
      <w:pPr>
        <w:ind w:left="1580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8743BF0">
      <w:numFmt w:val="bullet"/>
      <w:lvlText w:val="•"/>
      <w:lvlJc w:val="left"/>
      <w:pPr>
        <w:ind w:left="2386" w:hanging="226"/>
      </w:pPr>
      <w:rPr>
        <w:rFonts w:hint="default"/>
        <w:lang w:val="en-US" w:eastAsia="en-US" w:bidi="ar-SA"/>
      </w:rPr>
    </w:lvl>
    <w:lvl w:ilvl="2" w:tplc="EB00F9E2">
      <w:numFmt w:val="bullet"/>
      <w:lvlText w:val="•"/>
      <w:lvlJc w:val="left"/>
      <w:pPr>
        <w:ind w:left="3192" w:hanging="226"/>
      </w:pPr>
      <w:rPr>
        <w:rFonts w:hint="default"/>
        <w:lang w:val="en-US" w:eastAsia="en-US" w:bidi="ar-SA"/>
      </w:rPr>
    </w:lvl>
    <w:lvl w:ilvl="3" w:tplc="E4B6A3D0">
      <w:numFmt w:val="bullet"/>
      <w:lvlText w:val="•"/>
      <w:lvlJc w:val="left"/>
      <w:pPr>
        <w:ind w:left="3998" w:hanging="226"/>
      </w:pPr>
      <w:rPr>
        <w:rFonts w:hint="default"/>
        <w:lang w:val="en-US" w:eastAsia="en-US" w:bidi="ar-SA"/>
      </w:rPr>
    </w:lvl>
    <w:lvl w:ilvl="4" w:tplc="F0D80FB8">
      <w:numFmt w:val="bullet"/>
      <w:lvlText w:val="•"/>
      <w:lvlJc w:val="left"/>
      <w:pPr>
        <w:ind w:left="4804" w:hanging="226"/>
      </w:pPr>
      <w:rPr>
        <w:rFonts w:hint="default"/>
        <w:lang w:val="en-US" w:eastAsia="en-US" w:bidi="ar-SA"/>
      </w:rPr>
    </w:lvl>
    <w:lvl w:ilvl="5" w:tplc="6AFCBB6A">
      <w:numFmt w:val="bullet"/>
      <w:lvlText w:val="•"/>
      <w:lvlJc w:val="left"/>
      <w:pPr>
        <w:ind w:left="5610" w:hanging="226"/>
      </w:pPr>
      <w:rPr>
        <w:rFonts w:hint="default"/>
        <w:lang w:val="en-US" w:eastAsia="en-US" w:bidi="ar-SA"/>
      </w:rPr>
    </w:lvl>
    <w:lvl w:ilvl="6" w:tplc="77A8CF7E">
      <w:numFmt w:val="bullet"/>
      <w:lvlText w:val="•"/>
      <w:lvlJc w:val="left"/>
      <w:pPr>
        <w:ind w:left="6416" w:hanging="226"/>
      </w:pPr>
      <w:rPr>
        <w:rFonts w:hint="default"/>
        <w:lang w:val="en-US" w:eastAsia="en-US" w:bidi="ar-SA"/>
      </w:rPr>
    </w:lvl>
    <w:lvl w:ilvl="7" w:tplc="C010A9A4">
      <w:numFmt w:val="bullet"/>
      <w:lvlText w:val="•"/>
      <w:lvlJc w:val="left"/>
      <w:pPr>
        <w:ind w:left="7222" w:hanging="226"/>
      </w:pPr>
      <w:rPr>
        <w:rFonts w:hint="default"/>
        <w:lang w:val="en-US" w:eastAsia="en-US" w:bidi="ar-SA"/>
      </w:rPr>
    </w:lvl>
    <w:lvl w:ilvl="8" w:tplc="7660AC7E">
      <w:numFmt w:val="bullet"/>
      <w:lvlText w:val="•"/>
      <w:lvlJc w:val="left"/>
      <w:pPr>
        <w:ind w:left="8028" w:hanging="226"/>
      </w:pPr>
      <w:rPr>
        <w:rFonts w:hint="default"/>
        <w:lang w:val="en-US" w:eastAsia="en-US" w:bidi="ar-SA"/>
      </w:rPr>
    </w:lvl>
  </w:abstractNum>
  <w:abstractNum w:abstractNumId="1" w15:restartNumberingAfterBreak="0">
    <w:nsid w:val="342F3EDA"/>
    <w:multiLevelType w:val="hybridMultilevel"/>
    <w:tmpl w:val="FEFA7526"/>
    <w:lvl w:ilvl="0" w:tplc="BB82DAF4">
      <w:start w:val="2"/>
      <w:numFmt w:val="decimal"/>
      <w:lvlText w:val="%1."/>
      <w:lvlJc w:val="left"/>
      <w:pPr>
        <w:ind w:left="1580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652625E">
      <w:numFmt w:val="bullet"/>
      <w:lvlText w:val="•"/>
      <w:lvlJc w:val="left"/>
      <w:pPr>
        <w:ind w:left="2386" w:hanging="248"/>
      </w:pPr>
      <w:rPr>
        <w:rFonts w:hint="default"/>
        <w:lang w:val="en-US" w:eastAsia="en-US" w:bidi="ar-SA"/>
      </w:rPr>
    </w:lvl>
    <w:lvl w:ilvl="2" w:tplc="41F6ED02">
      <w:numFmt w:val="bullet"/>
      <w:lvlText w:val="•"/>
      <w:lvlJc w:val="left"/>
      <w:pPr>
        <w:ind w:left="3192" w:hanging="248"/>
      </w:pPr>
      <w:rPr>
        <w:rFonts w:hint="default"/>
        <w:lang w:val="en-US" w:eastAsia="en-US" w:bidi="ar-SA"/>
      </w:rPr>
    </w:lvl>
    <w:lvl w:ilvl="3" w:tplc="F558CF82">
      <w:numFmt w:val="bullet"/>
      <w:lvlText w:val="•"/>
      <w:lvlJc w:val="left"/>
      <w:pPr>
        <w:ind w:left="3998" w:hanging="248"/>
      </w:pPr>
      <w:rPr>
        <w:rFonts w:hint="default"/>
        <w:lang w:val="en-US" w:eastAsia="en-US" w:bidi="ar-SA"/>
      </w:rPr>
    </w:lvl>
    <w:lvl w:ilvl="4" w:tplc="2C08A9A4">
      <w:numFmt w:val="bullet"/>
      <w:lvlText w:val="•"/>
      <w:lvlJc w:val="left"/>
      <w:pPr>
        <w:ind w:left="4804" w:hanging="248"/>
      </w:pPr>
      <w:rPr>
        <w:rFonts w:hint="default"/>
        <w:lang w:val="en-US" w:eastAsia="en-US" w:bidi="ar-SA"/>
      </w:rPr>
    </w:lvl>
    <w:lvl w:ilvl="5" w:tplc="98D6F172">
      <w:numFmt w:val="bullet"/>
      <w:lvlText w:val="•"/>
      <w:lvlJc w:val="left"/>
      <w:pPr>
        <w:ind w:left="5610" w:hanging="248"/>
      </w:pPr>
      <w:rPr>
        <w:rFonts w:hint="default"/>
        <w:lang w:val="en-US" w:eastAsia="en-US" w:bidi="ar-SA"/>
      </w:rPr>
    </w:lvl>
    <w:lvl w:ilvl="6" w:tplc="4A46F3F4">
      <w:numFmt w:val="bullet"/>
      <w:lvlText w:val="•"/>
      <w:lvlJc w:val="left"/>
      <w:pPr>
        <w:ind w:left="6416" w:hanging="248"/>
      </w:pPr>
      <w:rPr>
        <w:rFonts w:hint="default"/>
        <w:lang w:val="en-US" w:eastAsia="en-US" w:bidi="ar-SA"/>
      </w:rPr>
    </w:lvl>
    <w:lvl w:ilvl="7" w:tplc="6F44E332">
      <w:numFmt w:val="bullet"/>
      <w:lvlText w:val="•"/>
      <w:lvlJc w:val="left"/>
      <w:pPr>
        <w:ind w:left="7222" w:hanging="248"/>
      </w:pPr>
      <w:rPr>
        <w:rFonts w:hint="default"/>
        <w:lang w:val="en-US" w:eastAsia="en-US" w:bidi="ar-SA"/>
      </w:rPr>
    </w:lvl>
    <w:lvl w:ilvl="8" w:tplc="87EAAE94">
      <w:numFmt w:val="bullet"/>
      <w:lvlText w:val="•"/>
      <w:lvlJc w:val="left"/>
      <w:pPr>
        <w:ind w:left="8028" w:hanging="248"/>
      </w:pPr>
      <w:rPr>
        <w:rFonts w:hint="default"/>
        <w:lang w:val="en-US" w:eastAsia="en-US" w:bidi="ar-SA"/>
      </w:rPr>
    </w:lvl>
  </w:abstractNum>
  <w:abstractNum w:abstractNumId="2" w15:restartNumberingAfterBreak="0">
    <w:nsid w:val="507D16A7"/>
    <w:multiLevelType w:val="hybridMultilevel"/>
    <w:tmpl w:val="7A1855AE"/>
    <w:lvl w:ilvl="0" w:tplc="8C309624">
      <w:start w:val="1"/>
      <w:numFmt w:val="upperRoman"/>
      <w:lvlText w:val="%1."/>
      <w:lvlJc w:val="left"/>
      <w:pPr>
        <w:ind w:left="860" w:hanging="7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2E5DF2">
      <w:start w:val="1"/>
      <w:numFmt w:val="upperLetter"/>
      <w:lvlText w:val="%2."/>
      <w:lvlJc w:val="left"/>
      <w:pPr>
        <w:ind w:left="1311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AB16EA58">
      <w:start w:val="1"/>
      <w:numFmt w:val="decimal"/>
      <w:lvlText w:val="%3."/>
      <w:lvlJc w:val="left"/>
      <w:pPr>
        <w:ind w:left="1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F67A4DBE">
      <w:numFmt w:val="bullet"/>
      <w:lvlText w:val="•"/>
      <w:lvlJc w:val="left"/>
      <w:pPr>
        <w:ind w:left="1940" w:hanging="360"/>
      </w:pPr>
      <w:rPr>
        <w:rFonts w:hint="default"/>
        <w:lang w:val="en-US" w:eastAsia="en-US" w:bidi="ar-SA"/>
      </w:rPr>
    </w:lvl>
    <w:lvl w:ilvl="4" w:tplc="07C2F23E">
      <w:numFmt w:val="bullet"/>
      <w:lvlText w:val="•"/>
      <w:lvlJc w:val="left"/>
      <w:pPr>
        <w:ind w:left="3040" w:hanging="360"/>
      </w:pPr>
      <w:rPr>
        <w:rFonts w:hint="default"/>
        <w:lang w:val="en-US" w:eastAsia="en-US" w:bidi="ar-SA"/>
      </w:rPr>
    </w:lvl>
    <w:lvl w:ilvl="5" w:tplc="B870201C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6" w:tplc="45AC5B7E">
      <w:numFmt w:val="bullet"/>
      <w:lvlText w:val="•"/>
      <w:lvlJc w:val="left"/>
      <w:pPr>
        <w:ind w:left="5240" w:hanging="360"/>
      </w:pPr>
      <w:rPr>
        <w:rFonts w:hint="default"/>
        <w:lang w:val="en-US" w:eastAsia="en-US" w:bidi="ar-SA"/>
      </w:rPr>
    </w:lvl>
    <w:lvl w:ilvl="7" w:tplc="7E2E2F56">
      <w:numFmt w:val="bullet"/>
      <w:lvlText w:val="•"/>
      <w:lvlJc w:val="left"/>
      <w:pPr>
        <w:ind w:left="6340" w:hanging="360"/>
      </w:pPr>
      <w:rPr>
        <w:rFonts w:hint="default"/>
        <w:lang w:val="en-US" w:eastAsia="en-US" w:bidi="ar-SA"/>
      </w:rPr>
    </w:lvl>
    <w:lvl w:ilvl="8" w:tplc="50B0D17A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</w:abstractNum>
  <w:num w:numId="1" w16cid:durableId="2019311955">
    <w:abstractNumId w:val="0"/>
  </w:num>
  <w:num w:numId="2" w16cid:durableId="2018271476">
    <w:abstractNumId w:val="1"/>
  </w:num>
  <w:num w:numId="3" w16cid:durableId="1076168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6645"/>
    <w:rsid w:val="00044370"/>
    <w:rsid w:val="003C0AE5"/>
    <w:rsid w:val="00421C83"/>
    <w:rsid w:val="006E6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BD7A6"/>
  <w15:docId w15:val="{B3BE9659-E548-4036-B114-5A29C446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80" w:hanging="7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443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437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443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437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Workforce Investment Act State Compliance Policies</dc:title>
  <dc:subject>Section: 3.3 - Carry Forward Funds, Reallocation, Reallotment, and Life of Funds</dc:subject>
  <dc:creator>lucinda m. tator</dc:creator>
  <cp:lastModifiedBy>Kimberly Jadidi</cp:lastModifiedBy>
  <cp:revision>2</cp:revision>
  <dcterms:created xsi:type="dcterms:W3CDTF">2026-08-27T20:46:00Z</dcterms:created>
  <dcterms:modified xsi:type="dcterms:W3CDTF">2026-08-28T19:55:00Z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2026-08-27T00:00:00Z</vt:filetime>
  </property>
  <property fmtid="{D5CDD505-2E9C-101B-9397-08002B2CF9AE}" pid="5" name="Producer">
    <vt:lpwstr>Microsoft® Word 2010</vt:lpwstr>
  </property>
</Properties>
</file>