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12D93" w14:textId="77777777" w:rsidR="00FB1CFE" w:rsidRPr="00105564" w:rsidRDefault="00FB1CFE" w:rsidP="00FB1CFE">
      <w:pPr>
        <w:spacing w:before="76"/>
        <w:ind w:left="326" w:right="254"/>
        <w:jc w:val="center"/>
        <w:rPr>
          <w:b/>
          <w:sz w:val="28"/>
        </w:rPr>
      </w:pPr>
      <w:r w:rsidRPr="00105564">
        <w:rPr>
          <w:b/>
          <w:sz w:val="28"/>
        </w:rPr>
        <w:t>Nevada</w:t>
      </w:r>
      <w:r w:rsidRPr="00105564">
        <w:rPr>
          <w:b/>
          <w:spacing w:val="-5"/>
          <w:sz w:val="28"/>
        </w:rPr>
        <w:t xml:space="preserve"> </w:t>
      </w:r>
      <w:r w:rsidRPr="00105564">
        <w:rPr>
          <w:b/>
          <w:sz w:val="28"/>
        </w:rPr>
        <w:t>Department</w:t>
      </w:r>
      <w:r w:rsidRPr="00105564">
        <w:rPr>
          <w:b/>
          <w:spacing w:val="-6"/>
          <w:sz w:val="28"/>
        </w:rPr>
        <w:t xml:space="preserve"> </w:t>
      </w:r>
      <w:r w:rsidRPr="00105564">
        <w:rPr>
          <w:b/>
          <w:sz w:val="28"/>
        </w:rPr>
        <w:t>of</w:t>
      </w:r>
      <w:r w:rsidRPr="00105564">
        <w:rPr>
          <w:b/>
          <w:spacing w:val="-6"/>
          <w:sz w:val="28"/>
        </w:rPr>
        <w:t xml:space="preserve"> </w:t>
      </w:r>
      <w:r w:rsidRPr="00105564">
        <w:rPr>
          <w:b/>
          <w:sz w:val="28"/>
        </w:rPr>
        <w:t>Employment,</w:t>
      </w:r>
      <w:r w:rsidRPr="00105564">
        <w:rPr>
          <w:b/>
          <w:spacing w:val="-6"/>
          <w:sz w:val="28"/>
        </w:rPr>
        <w:t xml:space="preserve"> </w:t>
      </w:r>
      <w:r w:rsidRPr="00105564">
        <w:rPr>
          <w:b/>
          <w:sz w:val="28"/>
        </w:rPr>
        <w:t>Training</w:t>
      </w:r>
      <w:r w:rsidRPr="00105564">
        <w:rPr>
          <w:b/>
          <w:spacing w:val="-5"/>
          <w:sz w:val="28"/>
        </w:rPr>
        <w:t xml:space="preserve"> </w:t>
      </w:r>
      <w:r w:rsidRPr="00105564">
        <w:rPr>
          <w:b/>
          <w:sz w:val="28"/>
        </w:rPr>
        <w:t>and</w:t>
      </w:r>
      <w:r w:rsidRPr="00105564">
        <w:rPr>
          <w:b/>
          <w:spacing w:val="-6"/>
          <w:sz w:val="28"/>
        </w:rPr>
        <w:t xml:space="preserve"> </w:t>
      </w:r>
      <w:r w:rsidRPr="00105564">
        <w:rPr>
          <w:b/>
          <w:sz w:val="28"/>
        </w:rPr>
        <w:t>Rehabilitation Employment Security Division</w:t>
      </w:r>
    </w:p>
    <w:p w14:paraId="772E1287" w14:textId="77777777" w:rsidR="00FB1CFE" w:rsidRPr="00105564" w:rsidRDefault="00FB1CFE" w:rsidP="00FB1CFE">
      <w:pPr>
        <w:spacing w:line="321" w:lineRule="exact"/>
        <w:ind w:left="326" w:right="327"/>
        <w:jc w:val="center"/>
        <w:rPr>
          <w:b/>
          <w:sz w:val="28"/>
        </w:rPr>
      </w:pPr>
      <w:r w:rsidRPr="00105564">
        <w:rPr>
          <w:b/>
          <w:sz w:val="28"/>
        </w:rPr>
        <w:t>Workforce</w:t>
      </w:r>
      <w:r w:rsidRPr="00105564">
        <w:rPr>
          <w:b/>
          <w:spacing w:val="-7"/>
          <w:sz w:val="28"/>
        </w:rPr>
        <w:t xml:space="preserve"> </w:t>
      </w:r>
      <w:r w:rsidRPr="00105564">
        <w:rPr>
          <w:b/>
          <w:sz w:val="28"/>
        </w:rPr>
        <w:t>Programs</w:t>
      </w:r>
    </w:p>
    <w:p w14:paraId="3D89B2BD" w14:textId="77777777" w:rsidR="00FB1CFE" w:rsidRPr="00105564" w:rsidRDefault="00FB1CFE" w:rsidP="00FB1CFE">
      <w:pPr>
        <w:spacing w:before="1"/>
        <w:rPr>
          <w:b/>
          <w:sz w:val="28"/>
          <w:szCs w:val="24"/>
        </w:rPr>
      </w:pPr>
    </w:p>
    <w:p w14:paraId="669AD380" w14:textId="77777777" w:rsidR="00FB1CFE" w:rsidRPr="00105564" w:rsidRDefault="00FB1CFE" w:rsidP="00FB1CFE">
      <w:pPr>
        <w:spacing w:before="1"/>
        <w:ind w:left="1506" w:right="1501"/>
        <w:jc w:val="center"/>
        <w:rPr>
          <w:b/>
          <w:sz w:val="28"/>
        </w:rPr>
      </w:pPr>
      <w:r w:rsidRPr="00105564">
        <w:rPr>
          <w:b/>
          <w:sz w:val="28"/>
        </w:rPr>
        <w:t>Workforce</w:t>
      </w:r>
      <w:r w:rsidRPr="00105564">
        <w:rPr>
          <w:b/>
          <w:spacing w:val="-6"/>
          <w:sz w:val="28"/>
        </w:rPr>
        <w:t xml:space="preserve"> </w:t>
      </w:r>
      <w:r w:rsidRPr="00105564">
        <w:rPr>
          <w:b/>
          <w:sz w:val="28"/>
        </w:rPr>
        <w:t>Innovation</w:t>
      </w:r>
      <w:r w:rsidRPr="00105564">
        <w:rPr>
          <w:b/>
          <w:spacing w:val="-6"/>
          <w:sz w:val="28"/>
        </w:rPr>
        <w:t xml:space="preserve"> </w:t>
      </w:r>
      <w:r w:rsidRPr="00105564">
        <w:rPr>
          <w:b/>
          <w:sz w:val="28"/>
        </w:rPr>
        <w:t>and</w:t>
      </w:r>
      <w:r w:rsidRPr="00105564">
        <w:rPr>
          <w:b/>
          <w:spacing w:val="-8"/>
          <w:sz w:val="28"/>
        </w:rPr>
        <w:t xml:space="preserve"> </w:t>
      </w:r>
      <w:r w:rsidRPr="00105564">
        <w:rPr>
          <w:b/>
          <w:sz w:val="28"/>
        </w:rPr>
        <w:t>Opportunity</w:t>
      </w:r>
      <w:r w:rsidRPr="00105564">
        <w:rPr>
          <w:b/>
          <w:spacing w:val="-7"/>
          <w:sz w:val="28"/>
        </w:rPr>
        <w:t xml:space="preserve"> </w:t>
      </w:r>
      <w:r w:rsidRPr="00105564">
        <w:rPr>
          <w:b/>
          <w:sz w:val="28"/>
        </w:rPr>
        <w:t>Act</w:t>
      </w:r>
      <w:r w:rsidRPr="00105564">
        <w:rPr>
          <w:b/>
          <w:spacing w:val="-6"/>
          <w:sz w:val="28"/>
        </w:rPr>
        <w:t xml:space="preserve"> </w:t>
      </w:r>
      <w:r w:rsidRPr="00105564">
        <w:rPr>
          <w:b/>
          <w:sz w:val="28"/>
        </w:rPr>
        <w:t>(WIOA) State Compliance Policy (SCP)</w:t>
      </w:r>
    </w:p>
    <w:p w14:paraId="365A9601" w14:textId="31D035EA" w:rsidR="00E41A5B" w:rsidRDefault="00E41A5B">
      <w:pPr>
        <w:ind w:left="2580" w:right="2569"/>
        <w:jc w:val="center"/>
        <w:rPr>
          <w:b/>
          <w:sz w:val="28"/>
        </w:rPr>
      </w:pPr>
    </w:p>
    <w:p w14:paraId="365A9602" w14:textId="77777777" w:rsidR="00E41A5B" w:rsidRDefault="00E41A5B">
      <w:pPr>
        <w:pStyle w:val="BodyText"/>
        <w:spacing w:before="168"/>
        <w:jc w:val="left"/>
        <w:rPr>
          <w:b/>
          <w:sz w:val="28"/>
        </w:rPr>
      </w:pPr>
    </w:p>
    <w:p w14:paraId="365A9603" w14:textId="77777777" w:rsidR="00E41A5B" w:rsidRDefault="00DA7B02">
      <w:pPr>
        <w:pStyle w:val="Heading2"/>
      </w:pPr>
      <w:r>
        <w:t>Policy</w:t>
      </w:r>
      <w:r>
        <w:rPr>
          <w:spacing w:val="-3"/>
        </w:rPr>
        <w:t xml:space="preserve"> </w:t>
      </w:r>
      <w:r>
        <w:t>Number:</w:t>
      </w:r>
      <w:r>
        <w:rPr>
          <w:spacing w:val="56"/>
        </w:rPr>
        <w:t xml:space="preserve"> </w:t>
      </w:r>
      <w:r>
        <w:rPr>
          <w:spacing w:val="-4"/>
        </w:rPr>
        <w:t>1.22</w:t>
      </w:r>
    </w:p>
    <w:p w14:paraId="365A9604" w14:textId="77777777" w:rsidR="00E41A5B" w:rsidRDefault="00DA7B02">
      <w:pPr>
        <w:spacing w:before="271"/>
        <w:ind w:left="1300"/>
        <w:rPr>
          <w:sz w:val="24"/>
        </w:rPr>
      </w:pPr>
      <w:r>
        <w:rPr>
          <w:b/>
          <w:sz w:val="24"/>
          <w:u w:val="single"/>
        </w:rPr>
        <w:t>Originating</w:t>
      </w:r>
      <w:r>
        <w:rPr>
          <w:b/>
          <w:spacing w:val="-4"/>
          <w:sz w:val="24"/>
          <w:u w:val="single"/>
        </w:rPr>
        <w:t xml:space="preserve"> </w:t>
      </w:r>
      <w:r>
        <w:rPr>
          <w:b/>
          <w:sz w:val="24"/>
          <w:u w:val="single"/>
        </w:rPr>
        <w:t>Office:</w:t>
      </w:r>
      <w:r>
        <w:rPr>
          <w:b/>
          <w:spacing w:val="56"/>
          <w:sz w:val="24"/>
        </w:rPr>
        <w:t xml:space="preserve"> </w:t>
      </w:r>
      <w:r>
        <w:rPr>
          <w:sz w:val="24"/>
        </w:rPr>
        <w:t>Office</w:t>
      </w:r>
      <w:r>
        <w:rPr>
          <w:spacing w:val="-2"/>
          <w:sz w:val="24"/>
        </w:rPr>
        <w:t xml:space="preserve"> </w:t>
      </w:r>
      <w:r>
        <w:rPr>
          <w:sz w:val="24"/>
        </w:rPr>
        <w:t>of</w:t>
      </w:r>
      <w:r>
        <w:rPr>
          <w:spacing w:val="-3"/>
          <w:sz w:val="24"/>
        </w:rPr>
        <w:t xml:space="preserve"> </w:t>
      </w:r>
      <w:r>
        <w:rPr>
          <w:sz w:val="24"/>
        </w:rPr>
        <w:t>Workforce</w:t>
      </w:r>
      <w:r>
        <w:rPr>
          <w:spacing w:val="-1"/>
          <w:sz w:val="24"/>
        </w:rPr>
        <w:t xml:space="preserve"> </w:t>
      </w:r>
      <w:r>
        <w:rPr>
          <w:sz w:val="24"/>
        </w:rPr>
        <w:t>Innovation</w:t>
      </w:r>
      <w:r>
        <w:rPr>
          <w:spacing w:val="-1"/>
          <w:sz w:val="24"/>
        </w:rPr>
        <w:t xml:space="preserve"> </w:t>
      </w:r>
      <w:r>
        <w:rPr>
          <w:spacing w:val="-2"/>
          <w:sz w:val="24"/>
        </w:rPr>
        <w:t>(OWINN)</w:t>
      </w:r>
    </w:p>
    <w:p w14:paraId="365A9605" w14:textId="77777777" w:rsidR="00E41A5B" w:rsidRDefault="00E41A5B">
      <w:pPr>
        <w:pStyle w:val="BodyText"/>
        <w:jc w:val="left"/>
      </w:pPr>
    </w:p>
    <w:p w14:paraId="365A9606" w14:textId="77777777" w:rsidR="00E41A5B" w:rsidRDefault="00DA7B02">
      <w:pPr>
        <w:ind w:left="1300"/>
        <w:rPr>
          <w:sz w:val="24"/>
        </w:rPr>
      </w:pPr>
      <w:r>
        <w:rPr>
          <w:b/>
          <w:sz w:val="24"/>
          <w:u w:val="single"/>
        </w:rPr>
        <w:t>Subject:</w:t>
      </w:r>
      <w:r>
        <w:rPr>
          <w:b/>
          <w:spacing w:val="52"/>
          <w:sz w:val="24"/>
        </w:rPr>
        <w:t xml:space="preserve"> </w:t>
      </w:r>
      <w:r>
        <w:rPr>
          <w:sz w:val="24"/>
        </w:rPr>
        <w:t>One-Stop</w:t>
      </w:r>
      <w:r>
        <w:rPr>
          <w:spacing w:val="-1"/>
          <w:sz w:val="24"/>
        </w:rPr>
        <w:t xml:space="preserve"> </w:t>
      </w:r>
      <w:r>
        <w:rPr>
          <w:sz w:val="24"/>
        </w:rPr>
        <w:t>Infrastructure</w:t>
      </w:r>
      <w:r>
        <w:rPr>
          <w:spacing w:val="-2"/>
          <w:sz w:val="24"/>
        </w:rPr>
        <w:t xml:space="preserve"> Funding</w:t>
      </w:r>
    </w:p>
    <w:p w14:paraId="365A9607" w14:textId="77777777" w:rsidR="00E41A5B" w:rsidRDefault="00E41A5B">
      <w:pPr>
        <w:pStyle w:val="BodyText"/>
        <w:jc w:val="left"/>
      </w:pPr>
    </w:p>
    <w:p w14:paraId="365A9608" w14:textId="77777777" w:rsidR="00E41A5B" w:rsidRDefault="00DA7B02">
      <w:pPr>
        <w:pStyle w:val="BodyText"/>
        <w:ind w:left="1300"/>
        <w:jc w:val="left"/>
      </w:pPr>
      <w:r>
        <w:rPr>
          <w:b/>
          <w:u w:val="single"/>
        </w:rPr>
        <w:t>Issued:</w:t>
      </w:r>
      <w:r>
        <w:rPr>
          <w:b/>
          <w:spacing w:val="53"/>
        </w:rPr>
        <w:t xml:space="preserve"> </w:t>
      </w:r>
      <w:r>
        <w:t>New,</w:t>
      </w:r>
      <w:r>
        <w:rPr>
          <w:spacing w:val="-2"/>
        </w:rPr>
        <w:t xml:space="preserve"> </w:t>
      </w:r>
      <w:r>
        <w:t>Approved GWDB</w:t>
      </w:r>
      <w:r>
        <w:rPr>
          <w:spacing w:val="-4"/>
        </w:rPr>
        <w:t xml:space="preserve"> </w:t>
      </w:r>
      <w:r>
        <w:t>Executive</w:t>
      </w:r>
      <w:r>
        <w:rPr>
          <w:spacing w:val="-2"/>
        </w:rPr>
        <w:t xml:space="preserve"> </w:t>
      </w:r>
      <w:r>
        <w:t>Committee,</w:t>
      </w:r>
      <w:r>
        <w:rPr>
          <w:spacing w:val="-2"/>
        </w:rPr>
        <w:t xml:space="preserve"> </w:t>
      </w:r>
      <w:r>
        <w:t>9-20-2017;</w:t>
      </w:r>
      <w:r>
        <w:rPr>
          <w:spacing w:val="-2"/>
        </w:rPr>
        <w:t xml:space="preserve"> </w:t>
      </w:r>
      <w:r>
        <w:t>Ratified</w:t>
      </w:r>
      <w:r>
        <w:rPr>
          <w:spacing w:val="-2"/>
        </w:rPr>
        <w:t xml:space="preserve"> </w:t>
      </w:r>
      <w:r>
        <w:t>GWSB</w:t>
      </w:r>
      <w:r>
        <w:rPr>
          <w:spacing w:val="-3"/>
        </w:rPr>
        <w:t xml:space="preserve"> </w:t>
      </w:r>
      <w:r>
        <w:t>10-19-</w:t>
      </w:r>
      <w:r>
        <w:rPr>
          <w:spacing w:val="-4"/>
        </w:rPr>
        <w:t>2017</w:t>
      </w:r>
    </w:p>
    <w:p w14:paraId="365A9609" w14:textId="77777777" w:rsidR="00E41A5B" w:rsidRDefault="00E41A5B">
      <w:pPr>
        <w:pStyle w:val="BodyText"/>
        <w:jc w:val="left"/>
      </w:pPr>
    </w:p>
    <w:p w14:paraId="365A960A" w14:textId="77777777" w:rsidR="00E41A5B" w:rsidRDefault="00DA7B02">
      <w:pPr>
        <w:pStyle w:val="BodyText"/>
        <w:ind w:left="1300" w:right="1359"/>
      </w:pPr>
      <w:r>
        <w:rPr>
          <w:b/>
          <w:u w:val="single"/>
        </w:rPr>
        <w:t>Purpose:</w:t>
      </w:r>
      <w:r>
        <w:rPr>
          <w:b/>
          <w:spacing w:val="40"/>
        </w:rPr>
        <w:t xml:space="preserve"> </w:t>
      </w:r>
      <w:r>
        <w:t>To</w:t>
      </w:r>
      <w:r>
        <w:rPr>
          <w:spacing w:val="-2"/>
        </w:rPr>
        <w:t xml:space="preserve"> </w:t>
      </w:r>
      <w:r>
        <w:t>provide</w:t>
      </w:r>
      <w:r>
        <w:rPr>
          <w:spacing w:val="-1"/>
        </w:rPr>
        <w:t xml:space="preserve"> </w:t>
      </w:r>
      <w:r>
        <w:t>guidance</w:t>
      </w:r>
      <w:r>
        <w:rPr>
          <w:spacing w:val="-3"/>
        </w:rPr>
        <w:t xml:space="preserve"> </w:t>
      </w:r>
      <w:r>
        <w:t>on</w:t>
      </w:r>
      <w:r>
        <w:rPr>
          <w:spacing w:val="-2"/>
        </w:rPr>
        <w:t xml:space="preserve"> </w:t>
      </w:r>
      <w:r>
        <w:t>the</w:t>
      </w:r>
      <w:r>
        <w:rPr>
          <w:spacing w:val="-3"/>
        </w:rPr>
        <w:t xml:space="preserve"> </w:t>
      </w:r>
      <w:r>
        <w:t>operating</w:t>
      </w:r>
      <w:r>
        <w:rPr>
          <w:spacing w:val="-5"/>
        </w:rPr>
        <w:t xml:space="preserve"> </w:t>
      </w:r>
      <w:r>
        <w:t>costs</w:t>
      </w:r>
      <w:r>
        <w:rPr>
          <w:spacing w:val="-2"/>
        </w:rPr>
        <w:t xml:space="preserve"> </w:t>
      </w:r>
      <w:r>
        <w:t>of</w:t>
      </w:r>
      <w:r>
        <w:rPr>
          <w:spacing w:val="-3"/>
        </w:rPr>
        <w:t xml:space="preserve"> </w:t>
      </w:r>
      <w:r>
        <w:t>the</w:t>
      </w:r>
      <w:r>
        <w:rPr>
          <w:spacing w:val="-3"/>
        </w:rPr>
        <w:t xml:space="preserve"> </w:t>
      </w:r>
      <w:r>
        <w:t>One-Stop</w:t>
      </w:r>
      <w:r>
        <w:rPr>
          <w:spacing w:val="-2"/>
        </w:rPr>
        <w:t xml:space="preserve"> </w:t>
      </w:r>
      <w:r>
        <w:t>delivery</w:t>
      </w:r>
      <w:r>
        <w:rPr>
          <w:spacing w:val="-7"/>
        </w:rPr>
        <w:t xml:space="preserve"> </w:t>
      </w:r>
      <w:r>
        <w:t>system</w:t>
      </w:r>
      <w:r>
        <w:rPr>
          <w:spacing w:val="-2"/>
        </w:rPr>
        <w:t xml:space="preserve"> </w:t>
      </w:r>
      <w:r>
        <w:t>which are comprised of infrastructure costs and additional costs in accordance with the requirements set forth in the Workforce Innovation and Opportunity Act (WIOA).</w:t>
      </w:r>
    </w:p>
    <w:p w14:paraId="365A960B" w14:textId="77777777" w:rsidR="00E41A5B" w:rsidRDefault="00E41A5B">
      <w:pPr>
        <w:pStyle w:val="BodyText"/>
        <w:jc w:val="left"/>
      </w:pPr>
    </w:p>
    <w:p w14:paraId="365A960C" w14:textId="77777777" w:rsidR="00E41A5B" w:rsidRDefault="00DA7B02">
      <w:pPr>
        <w:ind w:left="1300" w:right="1375"/>
        <w:jc w:val="both"/>
        <w:rPr>
          <w:b/>
          <w:i/>
          <w:sz w:val="24"/>
        </w:rPr>
      </w:pPr>
      <w:r>
        <w:rPr>
          <w:b/>
          <w:sz w:val="24"/>
          <w:u w:val="single"/>
        </w:rPr>
        <w:t>State Imposed Requirements:</w:t>
      </w:r>
      <w:r>
        <w:rPr>
          <w:b/>
          <w:spacing w:val="40"/>
          <w:sz w:val="24"/>
        </w:rPr>
        <w:t xml:space="preserve"> </w:t>
      </w:r>
      <w:r>
        <w:rPr>
          <w:sz w:val="24"/>
        </w:rPr>
        <w:t xml:space="preserve">This directive may contain some state-imposed requirements. These requirements are printed in </w:t>
      </w:r>
      <w:r>
        <w:rPr>
          <w:b/>
          <w:sz w:val="24"/>
        </w:rPr>
        <w:t xml:space="preserve">bold, </w:t>
      </w:r>
      <w:r>
        <w:rPr>
          <w:b/>
          <w:i/>
          <w:sz w:val="24"/>
        </w:rPr>
        <w:t>italic type.</w:t>
      </w:r>
    </w:p>
    <w:p w14:paraId="365A960D" w14:textId="77777777" w:rsidR="00E41A5B" w:rsidRDefault="00E41A5B">
      <w:pPr>
        <w:pStyle w:val="BodyText"/>
        <w:spacing w:before="5"/>
        <w:jc w:val="left"/>
        <w:rPr>
          <w:b/>
          <w:i/>
        </w:rPr>
      </w:pPr>
    </w:p>
    <w:p w14:paraId="365A960E" w14:textId="77777777" w:rsidR="00E41A5B" w:rsidRDefault="00DA7B02">
      <w:pPr>
        <w:spacing w:line="275" w:lineRule="exact"/>
        <w:ind w:left="1300"/>
        <w:rPr>
          <w:b/>
          <w:sz w:val="24"/>
        </w:rPr>
      </w:pPr>
      <w:r>
        <w:rPr>
          <w:b/>
          <w:spacing w:val="-2"/>
          <w:sz w:val="24"/>
          <w:u w:val="single"/>
        </w:rPr>
        <w:t>Authorities/References:</w:t>
      </w:r>
    </w:p>
    <w:p w14:paraId="365A960F" w14:textId="77777777" w:rsidR="00E41A5B" w:rsidRDefault="00DA7B02">
      <w:pPr>
        <w:pStyle w:val="ListParagraph"/>
        <w:numPr>
          <w:ilvl w:val="0"/>
          <w:numId w:val="23"/>
        </w:numPr>
        <w:tabs>
          <w:tab w:val="left" w:pos="2019"/>
        </w:tabs>
        <w:spacing w:line="292" w:lineRule="exact"/>
        <w:ind w:left="2019" w:hanging="359"/>
        <w:jc w:val="left"/>
        <w:rPr>
          <w:sz w:val="24"/>
        </w:rPr>
      </w:pPr>
      <w:r>
        <w:rPr>
          <w:sz w:val="24"/>
        </w:rPr>
        <w:t>Workforce Innovation</w:t>
      </w:r>
      <w:r>
        <w:rPr>
          <w:spacing w:val="-1"/>
          <w:sz w:val="24"/>
        </w:rPr>
        <w:t xml:space="preserve"> </w:t>
      </w:r>
      <w:r>
        <w:rPr>
          <w:sz w:val="24"/>
        </w:rPr>
        <w:t>and Opportunity</w:t>
      </w:r>
      <w:r>
        <w:rPr>
          <w:spacing w:val="-5"/>
          <w:sz w:val="24"/>
        </w:rPr>
        <w:t xml:space="preserve"> </w:t>
      </w:r>
      <w:r>
        <w:rPr>
          <w:sz w:val="24"/>
        </w:rPr>
        <w:t>Act</w:t>
      </w:r>
      <w:r>
        <w:rPr>
          <w:spacing w:val="-1"/>
          <w:sz w:val="24"/>
        </w:rPr>
        <w:t xml:space="preserve"> </w:t>
      </w:r>
      <w:r>
        <w:rPr>
          <w:sz w:val="24"/>
        </w:rPr>
        <w:t>(Pub.</w:t>
      </w:r>
      <w:r>
        <w:rPr>
          <w:spacing w:val="-1"/>
          <w:sz w:val="24"/>
        </w:rPr>
        <w:t xml:space="preserve"> </w:t>
      </w:r>
      <w:r>
        <w:rPr>
          <w:sz w:val="24"/>
        </w:rPr>
        <w:t>L. 113-128),</w:t>
      </w:r>
      <w:r>
        <w:rPr>
          <w:spacing w:val="-1"/>
          <w:sz w:val="24"/>
        </w:rPr>
        <w:t xml:space="preserve"> </w:t>
      </w:r>
      <w:r>
        <w:rPr>
          <w:sz w:val="24"/>
        </w:rPr>
        <w:t>July</w:t>
      </w:r>
      <w:r>
        <w:rPr>
          <w:spacing w:val="-8"/>
          <w:sz w:val="24"/>
        </w:rPr>
        <w:t xml:space="preserve"> </w:t>
      </w:r>
      <w:r>
        <w:rPr>
          <w:sz w:val="24"/>
        </w:rPr>
        <w:t xml:space="preserve">22, </w:t>
      </w:r>
      <w:r>
        <w:rPr>
          <w:spacing w:val="-2"/>
          <w:sz w:val="24"/>
        </w:rPr>
        <w:t>2014;</w:t>
      </w:r>
    </w:p>
    <w:p w14:paraId="365A9610" w14:textId="77777777" w:rsidR="00E41A5B" w:rsidRDefault="00DA7B02">
      <w:pPr>
        <w:pStyle w:val="ListParagraph"/>
        <w:numPr>
          <w:ilvl w:val="0"/>
          <w:numId w:val="23"/>
        </w:numPr>
        <w:tabs>
          <w:tab w:val="left" w:pos="2019"/>
        </w:tabs>
        <w:spacing w:line="293" w:lineRule="exact"/>
        <w:ind w:left="2019" w:hanging="359"/>
        <w:jc w:val="left"/>
        <w:rPr>
          <w:sz w:val="24"/>
        </w:rPr>
      </w:pPr>
      <w:r>
        <w:rPr>
          <w:sz w:val="24"/>
        </w:rPr>
        <w:t>TEGL</w:t>
      </w:r>
      <w:r>
        <w:rPr>
          <w:spacing w:val="-6"/>
          <w:sz w:val="24"/>
        </w:rPr>
        <w:t xml:space="preserve"> </w:t>
      </w:r>
      <w:r>
        <w:rPr>
          <w:sz w:val="24"/>
        </w:rPr>
        <w:t>17-</w:t>
      </w:r>
      <w:r>
        <w:rPr>
          <w:spacing w:val="-5"/>
          <w:sz w:val="24"/>
        </w:rPr>
        <w:t>16;</w:t>
      </w:r>
    </w:p>
    <w:p w14:paraId="365A9611" w14:textId="7EDFCBD4" w:rsidR="00E41A5B" w:rsidRDefault="00DA7B02">
      <w:pPr>
        <w:pStyle w:val="ListParagraph"/>
        <w:numPr>
          <w:ilvl w:val="0"/>
          <w:numId w:val="23"/>
        </w:numPr>
        <w:tabs>
          <w:tab w:val="left" w:pos="2020"/>
        </w:tabs>
        <w:ind w:right="1355"/>
        <w:rPr>
          <w:sz w:val="24"/>
        </w:rPr>
      </w:pPr>
      <w:r>
        <w:rPr>
          <w:sz w:val="24"/>
        </w:rPr>
        <w:t>WIOA Joint Rule for Unified and Combined State Plans, Performance Accountability, and the One-Stop System Joint Provisions; Final Rule, published at 81 FR 55791 (August</w:t>
      </w:r>
      <w:r w:rsidR="00FB1CFE">
        <w:rPr>
          <w:sz w:val="24"/>
        </w:rPr>
        <w:t xml:space="preserve"> </w:t>
      </w:r>
      <w:r>
        <w:rPr>
          <w:sz w:val="24"/>
        </w:rPr>
        <w:t>19, 2016);</w:t>
      </w:r>
    </w:p>
    <w:p w14:paraId="365A9612" w14:textId="77777777" w:rsidR="00E41A5B" w:rsidRDefault="00DA7B02">
      <w:pPr>
        <w:pStyle w:val="ListParagraph"/>
        <w:numPr>
          <w:ilvl w:val="0"/>
          <w:numId w:val="23"/>
        </w:numPr>
        <w:tabs>
          <w:tab w:val="left" w:pos="2020"/>
        </w:tabs>
        <w:spacing w:before="3" w:line="237" w:lineRule="auto"/>
        <w:ind w:right="1359"/>
        <w:rPr>
          <w:sz w:val="24"/>
        </w:rPr>
      </w:pPr>
      <w:r>
        <w:rPr>
          <w:sz w:val="24"/>
        </w:rPr>
        <w:t>Resource Sharing for Workforce Investment Act One-Stop Centers: Methodologies for Paying or Funding Each Partner Program’s Fair Share of Allocable One-Stop Costs;</w:t>
      </w:r>
    </w:p>
    <w:p w14:paraId="365A9613" w14:textId="77777777" w:rsidR="00E41A5B" w:rsidRDefault="00DA7B02">
      <w:pPr>
        <w:pStyle w:val="ListParagraph"/>
        <w:numPr>
          <w:ilvl w:val="0"/>
          <w:numId w:val="23"/>
        </w:numPr>
        <w:tabs>
          <w:tab w:val="left" w:pos="2019"/>
        </w:tabs>
        <w:spacing w:before="2" w:line="293" w:lineRule="exact"/>
        <w:ind w:left="2019" w:hanging="359"/>
        <w:rPr>
          <w:sz w:val="24"/>
        </w:rPr>
      </w:pPr>
      <w:r>
        <w:rPr>
          <w:sz w:val="24"/>
        </w:rPr>
        <w:t>Notice.</w:t>
      </w:r>
      <w:r>
        <w:rPr>
          <w:spacing w:val="-1"/>
          <w:sz w:val="24"/>
        </w:rPr>
        <w:t xml:space="preserve"> </w:t>
      </w:r>
      <w:r>
        <w:rPr>
          <w:sz w:val="24"/>
        </w:rPr>
        <w:t>Published</w:t>
      </w:r>
      <w:r>
        <w:rPr>
          <w:spacing w:val="-1"/>
          <w:sz w:val="24"/>
        </w:rPr>
        <w:t xml:space="preserve"> </w:t>
      </w:r>
      <w:r>
        <w:rPr>
          <w:sz w:val="24"/>
        </w:rPr>
        <w:t>at 66</w:t>
      </w:r>
      <w:r>
        <w:rPr>
          <w:spacing w:val="-1"/>
          <w:sz w:val="24"/>
        </w:rPr>
        <w:t xml:space="preserve"> </w:t>
      </w:r>
      <w:r>
        <w:rPr>
          <w:sz w:val="24"/>
        </w:rPr>
        <w:t>FR</w:t>
      </w:r>
      <w:r>
        <w:rPr>
          <w:spacing w:val="-1"/>
          <w:sz w:val="24"/>
        </w:rPr>
        <w:t xml:space="preserve"> </w:t>
      </w:r>
      <w:r>
        <w:rPr>
          <w:sz w:val="24"/>
        </w:rPr>
        <w:t>29638 (May</w:t>
      </w:r>
      <w:r>
        <w:rPr>
          <w:spacing w:val="-6"/>
          <w:sz w:val="24"/>
        </w:rPr>
        <w:t xml:space="preserve"> </w:t>
      </w:r>
      <w:r>
        <w:rPr>
          <w:sz w:val="24"/>
        </w:rPr>
        <w:t xml:space="preserve">31, </w:t>
      </w:r>
      <w:r>
        <w:rPr>
          <w:spacing w:val="-2"/>
          <w:sz w:val="24"/>
        </w:rPr>
        <w:t>2001);</w:t>
      </w:r>
    </w:p>
    <w:p w14:paraId="365A9614" w14:textId="77777777" w:rsidR="00E41A5B" w:rsidRDefault="00DA7B02">
      <w:pPr>
        <w:pStyle w:val="ListParagraph"/>
        <w:numPr>
          <w:ilvl w:val="0"/>
          <w:numId w:val="23"/>
        </w:numPr>
        <w:tabs>
          <w:tab w:val="left" w:pos="2020"/>
        </w:tabs>
        <w:spacing w:before="2" w:line="237" w:lineRule="auto"/>
        <w:ind w:right="1361"/>
        <w:rPr>
          <w:sz w:val="24"/>
        </w:rPr>
      </w:pPr>
      <w:r>
        <w:rPr>
          <w:sz w:val="24"/>
        </w:rPr>
        <w:t xml:space="preserve">Office of Management and Budget (OMB) CFR Chapter II, Part 200, et al. Uniform Administrative Requirements, Cost Principles, and Audit Requirements for Federal </w:t>
      </w:r>
      <w:r>
        <w:rPr>
          <w:spacing w:val="-2"/>
          <w:sz w:val="24"/>
        </w:rPr>
        <w:t>Awards;</w:t>
      </w:r>
    </w:p>
    <w:p w14:paraId="365A9615" w14:textId="77777777" w:rsidR="00E41A5B" w:rsidRDefault="00DA7B02">
      <w:pPr>
        <w:pStyle w:val="ListParagraph"/>
        <w:numPr>
          <w:ilvl w:val="0"/>
          <w:numId w:val="23"/>
        </w:numPr>
        <w:tabs>
          <w:tab w:val="left" w:pos="2020"/>
        </w:tabs>
        <w:spacing w:before="7" w:line="237" w:lineRule="auto"/>
        <w:ind w:right="1361"/>
        <w:rPr>
          <w:sz w:val="24"/>
        </w:rPr>
      </w:pPr>
      <w:r>
        <w:rPr>
          <w:sz w:val="24"/>
        </w:rPr>
        <w:t xml:space="preserve">Final Guidance and Final Rule. Final Guidance published </w:t>
      </w:r>
      <w:proofErr w:type="gramStart"/>
      <w:r>
        <w:rPr>
          <w:sz w:val="24"/>
        </w:rPr>
        <w:t>at</w:t>
      </w:r>
      <w:proofErr w:type="gramEnd"/>
      <w:r>
        <w:rPr>
          <w:sz w:val="24"/>
        </w:rPr>
        <w:t xml:space="preserve"> 78 FR 78589(December 26, 2013) and Final Rule published </w:t>
      </w:r>
      <w:proofErr w:type="gramStart"/>
      <w:r>
        <w:rPr>
          <w:sz w:val="24"/>
        </w:rPr>
        <w:t>at</w:t>
      </w:r>
      <w:proofErr w:type="gramEnd"/>
      <w:r>
        <w:rPr>
          <w:sz w:val="24"/>
        </w:rPr>
        <w:t xml:space="preserve"> 79 FR 75867 (December 19, 2014);</w:t>
      </w:r>
    </w:p>
    <w:p w14:paraId="365A9616" w14:textId="77777777" w:rsidR="00E41A5B" w:rsidRDefault="00DA7B02">
      <w:pPr>
        <w:pStyle w:val="ListParagraph"/>
        <w:numPr>
          <w:ilvl w:val="0"/>
          <w:numId w:val="23"/>
        </w:numPr>
        <w:tabs>
          <w:tab w:val="left" w:pos="2020"/>
        </w:tabs>
        <w:spacing w:before="5" w:line="237" w:lineRule="auto"/>
        <w:ind w:right="1357"/>
        <w:rPr>
          <w:sz w:val="24"/>
        </w:rPr>
      </w:pPr>
      <w:r>
        <w:rPr>
          <w:sz w:val="24"/>
        </w:rPr>
        <w:t>Department of Labor (DOL) CFR Chapter II, Part 2900 et al. Uniform Administrative Requirements, Cost Principles, and Audit Requirements for Federal Awards, December19, 2014;</w:t>
      </w:r>
    </w:p>
    <w:p w14:paraId="365A9617" w14:textId="52ABCB62" w:rsidR="00E41A5B" w:rsidRPr="00FB1CFE" w:rsidRDefault="00DA7B02">
      <w:pPr>
        <w:pStyle w:val="ListParagraph"/>
        <w:numPr>
          <w:ilvl w:val="0"/>
          <w:numId w:val="23"/>
        </w:numPr>
        <w:tabs>
          <w:tab w:val="left" w:pos="2019"/>
        </w:tabs>
        <w:spacing w:before="5"/>
        <w:ind w:left="2019" w:hanging="359"/>
        <w:rPr>
          <w:sz w:val="24"/>
        </w:rPr>
      </w:pPr>
      <w:r>
        <w:rPr>
          <w:sz w:val="24"/>
        </w:rPr>
        <w:t>20</w:t>
      </w:r>
      <w:r>
        <w:rPr>
          <w:spacing w:val="-1"/>
          <w:sz w:val="24"/>
        </w:rPr>
        <w:t xml:space="preserve"> </w:t>
      </w:r>
      <w:r>
        <w:rPr>
          <w:sz w:val="24"/>
        </w:rPr>
        <w:t>CFR§</w:t>
      </w:r>
      <w:r w:rsidR="00FB1CFE">
        <w:rPr>
          <w:sz w:val="24"/>
        </w:rPr>
        <w:t xml:space="preserve"> </w:t>
      </w:r>
      <w:r>
        <w:rPr>
          <w:sz w:val="24"/>
        </w:rPr>
        <w:t>678.735;</w:t>
      </w:r>
      <w:r>
        <w:rPr>
          <w:spacing w:val="-1"/>
          <w:sz w:val="24"/>
        </w:rPr>
        <w:t xml:space="preserve"> </w:t>
      </w:r>
      <w:r>
        <w:rPr>
          <w:sz w:val="24"/>
        </w:rPr>
        <w:t>20</w:t>
      </w:r>
      <w:r>
        <w:rPr>
          <w:spacing w:val="-1"/>
          <w:sz w:val="24"/>
        </w:rPr>
        <w:t xml:space="preserve"> </w:t>
      </w:r>
      <w:r>
        <w:rPr>
          <w:sz w:val="24"/>
        </w:rPr>
        <w:t>CFR§</w:t>
      </w:r>
      <w:r w:rsidR="00FB1CFE">
        <w:rPr>
          <w:sz w:val="24"/>
        </w:rPr>
        <w:t xml:space="preserve"> </w:t>
      </w:r>
      <w:r>
        <w:rPr>
          <w:sz w:val="24"/>
        </w:rPr>
        <w:t>678.738;</w:t>
      </w:r>
      <w:r>
        <w:rPr>
          <w:spacing w:val="-1"/>
          <w:sz w:val="24"/>
        </w:rPr>
        <w:t xml:space="preserve"> </w:t>
      </w:r>
      <w:r>
        <w:rPr>
          <w:sz w:val="24"/>
        </w:rPr>
        <w:t>20</w:t>
      </w:r>
      <w:r>
        <w:rPr>
          <w:spacing w:val="-1"/>
          <w:sz w:val="24"/>
        </w:rPr>
        <w:t xml:space="preserve"> </w:t>
      </w:r>
      <w:r>
        <w:rPr>
          <w:sz w:val="24"/>
        </w:rPr>
        <w:t>§</w:t>
      </w:r>
      <w:r w:rsidR="00FB1CFE">
        <w:rPr>
          <w:sz w:val="24"/>
        </w:rPr>
        <w:t xml:space="preserve"> </w:t>
      </w:r>
      <w:r>
        <w:rPr>
          <w:sz w:val="24"/>
        </w:rPr>
        <w:t>CFR</w:t>
      </w:r>
      <w:r>
        <w:rPr>
          <w:spacing w:val="-1"/>
          <w:sz w:val="24"/>
        </w:rPr>
        <w:t xml:space="preserve"> </w:t>
      </w:r>
      <w:r>
        <w:rPr>
          <w:spacing w:val="-2"/>
          <w:sz w:val="24"/>
        </w:rPr>
        <w:t>678.750</w:t>
      </w:r>
    </w:p>
    <w:p w14:paraId="3E3B7CF4" w14:textId="41A555F7" w:rsidR="00FB1CFE" w:rsidRDefault="00FB1CFE">
      <w:pPr>
        <w:pStyle w:val="ListParagraph"/>
        <w:numPr>
          <w:ilvl w:val="0"/>
          <w:numId w:val="23"/>
        </w:numPr>
        <w:tabs>
          <w:tab w:val="left" w:pos="2019"/>
        </w:tabs>
        <w:spacing w:before="5"/>
        <w:ind w:left="2019" w:hanging="359"/>
        <w:rPr>
          <w:sz w:val="24"/>
        </w:rPr>
      </w:pPr>
      <w:r>
        <w:rPr>
          <w:spacing w:val="-2"/>
          <w:sz w:val="24"/>
        </w:rPr>
        <w:t>Nevada SCPs</w:t>
      </w:r>
    </w:p>
    <w:p w14:paraId="238C1DA5" w14:textId="77777777" w:rsidR="00FB1CFE" w:rsidRDefault="00DA7B02" w:rsidP="00FB1CFE">
      <w:pPr>
        <w:pStyle w:val="BodyText"/>
        <w:spacing w:before="273"/>
        <w:ind w:left="1300" w:right="1357"/>
      </w:pPr>
      <w:r>
        <w:rPr>
          <w:b/>
          <w:u w:val="single"/>
        </w:rPr>
        <w:t>Action Required:</w:t>
      </w:r>
      <w:r>
        <w:rPr>
          <w:b/>
        </w:rPr>
        <w:t xml:space="preserve"> </w:t>
      </w:r>
      <w:r>
        <w:t xml:space="preserve">Upon issuance bring this guidance to the attention of all WIOA service </w:t>
      </w:r>
      <w:r>
        <w:lastRenderedPageBreak/>
        <w:t xml:space="preserve">providers, Local Workforce Development Board (LWDB) members and any other </w:t>
      </w:r>
      <w:proofErr w:type="gramStart"/>
      <w:r>
        <w:t>concerned parties</w:t>
      </w:r>
      <w:proofErr w:type="gramEnd"/>
      <w:r>
        <w:t>.</w:t>
      </w:r>
      <w:r>
        <w:rPr>
          <w:spacing w:val="80"/>
        </w:rPr>
        <w:t xml:space="preserve"> </w:t>
      </w:r>
      <w:r>
        <w:t>Any LWDBs policies, procedures, and or contracts affected by this guidance are required to be updated accordingly.</w:t>
      </w:r>
    </w:p>
    <w:p w14:paraId="365A961A" w14:textId="2928F6AD" w:rsidR="00E41A5B" w:rsidRDefault="00DA7B02" w:rsidP="00FB1CFE">
      <w:pPr>
        <w:pStyle w:val="BodyText"/>
        <w:spacing w:before="273"/>
        <w:ind w:left="1300" w:right="1357"/>
      </w:pPr>
      <w:r>
        <w:rPr>
          <w:b/>
          <w:u w:val="single"/>
        </w:rPr>
        <w:t>B</w:t>
      </w:r>
      <w:r>
        <w:rPr>
          <w:b/>
          <w:u w:val="single"/>
        </w:rPr>
        <w:t>ackground:</w:t>
      </w:r>
      <w:r>
        <w:rPr>
          <w:b/>
          <w:spacing w:val="40"/>
        </w:rPr>
        <w:t xml:space="preserve"> </w:t>
      </w:r>
      <w:r>
        <w:t>Local areas are expected to reach agreement on how infrastructure costs will be shared among required partners.</w:t>
      </w:r>
      <w:r>
        <w:rPr>
          <w:spacing w:val="40"/>
        </w:rPr>
        <w:t xml:space="preserve"> </w:t>
      </w:r>
      <w:r>
        <w:t xml:space="preserve">WIOA regulations (20 CFR 678.710) </w:t>
      </w:r>
      <w:proofErr w:type="gramStart"/>
      <w:r>
        <w:t>requires</w:t>
      </w:r>
      <w:proofErr w:type="gramEnd"/>
      <w:r>
        <w:t xml:space="preserve"> that one of two mechanisms</w:t>
      </w:r>
      <w:r>
        <w:rPr>
          <w:spacing w:val="-1"/>
        </w:rPr>
        <w:t xml:space="preserve"> </w:t>
      </w:r>
      <w:r>
        <w:t>for funding</w:t>
      </w:r>
      <w:r>
        <w:rPr>
          <w:spacing w:val="-1"/>
        </w:rPr>
        <w:t xml:space="preserve"> </w:t>
      </w:r>
      <w:r>
        <w:t>the</w:t>
      </w:r>
      <w:r>
        <w:rPr>
          <w:spacing w:val="-2"/>
        </w:rPr>
        <w:t xml:space="preserve"> </w:t>
      </w:r>
      <w:r>
        <w:t>infrastructure costs</w:t>
      </w:r>
      <w:r>
        <w:rPr>
          <w:spacing w:val="-1"/>
        </w:rPr>
        <w:t xml:space="preserve"> </w:t>
      </w:r>
      <w:r>
        <w:t>of comprehensive</w:t>
      </w:r>
      <w:r>
        <w:rPr>
          <w:spacing w:val="-2"/>
        </w:rPr>
        <w:t xml:space="preserve"> </w:t>
      </w:r>
      <w:r>
        <w:t>one-stop</w:t>
      </w:r>
      <w:r>
        <w:rPr>
          <w:spacing w:val="-1"/>
        </w:rPr>
        <w:t xml:space="preserve"> </w:t>
      </w:r>
      <w:r>
        <w:t>centers</w:t>
      </w:r>
      <w:r>
        <w:rPr>
          <w:spacing w:val="-1"/>
        </w:rPr>
        <w:t xml:space="preserve"> </w:t>
      </w:r>
      <w:r>
        <w:t>be</w:t>
      </w:r>
      <w:r>
        <w:rPr>
          <w:spacing w:val="-2"/>
        </w:rPr>
        <w:t xml:space="preserve"> </w:t>
      </w:r>
      <w:r>
        <w:t>used.</w:t>
      </w:r>
      <w:r>
        <w:rPr>
          <w:spacing w:val="-1"/>
        </w:rPr>
        <w:t xml:space="preserve"> </w:t>
      </w:r>
      <w:r>
        <w:t>First a local funding mechanism (LFM) when all required partners agree on how infrastructure costs will be shared, which is the expectation, or a State-determined funding mechanism (SFM) that will be used only as a last resort when it is impossible to reach local agreement.</w:t>
      </w:r>
    </w:p>
    <w:p w14:paraId="365A961B" w14:textId="77777777" w:rsidR="00E41A5B" w:rsidRDefault="00E41A5B">
      <w:pPr>
        <w:pStyle w:val="BodyText"/>
        <w:jc w:val="left"/>
      </w:pPr>
    </w:p>
    <w:p w14:paraId="365A961C" w14:textId="77777777" w:rsidR="00E41A5B" w:rsidRDefault="00DA7B02">
      <w:pPr>
        <w:pStyle w:val="BodyText"/>
        <w:ind w:left="1299" w:right="1359"/>
      </w:pPr>
      <w:r>
        <w:rPr>
          <w:b/>
          <w:u w:val="single"/>
        </w:rPr>
        <w:t>Policy and Procedure:</w:t>
      </w:r>
      <w:r>
        <w:rPr>
          <w:b/>
          <w:spacing w:val="40"/>
        </w:rPr>
        <w:t xml:space="preserve"> </w:t>
      </w:r>
      <w:r>
        <w:t>All required partners under WIOA must use a portion of their program funds to pay costs relating to operation of the local one-stop delivery system. These costs are outlined in this policy.</w:t>
      </w:r>
    </w:p>
    <w:p w14:paraId="365A961D" w14:textId="77777777" w:rsidR="00E41A5B" w:rsidRDefault="00E41A5B">
      <w:pPr>
        <w:pStyle w:val="BodyText"/>
        <w:jc w:val="left"/>
      </w:pPr>
    </w:p>
    <w:p w14:paraId="365A961E" w14:textId="77777777" w:rsidR="00E41A5B" w:rsidRDefault="00DA7B02">
      <w:pPr>
        <w:pStyle w:val="ListParagraph"/>
        <w:numPr>
          <w:ilvl w:val="0"/>
          <w:numId w:val="22"/>
        </w:numPr>
        <w:tabs>
          <w:tab w:val="left" w:pos="1700"/>
        </w:tabs>
        <w:ind w:right="1353" w:firstLine="0"/>
        <w:rPr>
          <w:sz w:val="24"/>
        </w:rPr>
      </w:pPr>
      <w:r>
        <w:rPr>
          <w:b/>
          <w:sz w:val="24"/>
          <w:u w:val="single"/>
        </w:rPr>
        <w:t>Purpose</w:t>
      </w:r>
      <w:r>
        <w:rPr>
          <w:b/>
          <w:sz w:val="24"/>
        </w:rPr>
        <w:t xml:space="preserve">. </w:t>
      </w:r>
      <w:r>
        <w:rPr>
          <w:sz w:val="24"/>
        </w:rPr>
        <w:t>This policy provides guidance on the operating costs of the one-stop delivery system, which are comprised of infrastructure costs and additional costs (i.e., career services, shared operating costs, and shared services) in accordance with the requirements set forth in WIOA and its implementing regulations.</w:t>
      </w:r>
    </w:p>
    <w:p w14:paraId="365A961F" w14:textId="77777777" w:rsidR="00E41A5B" w:rsidRDefault="00E41A5B">
      <w:pPr>
        <w:pStyle w:val="BodyText"/>
        <w:jc w:val="left"/>
      </w:pPr>
    </w:p>
    <w:p w14:paraId="365A9620" w14:textId="2E0CA7FC" w:rsidR="00E41A5B" w:rsidRDefault="00DA7B02">
      <w:pPr>
        <w:pStyle w:val="BodyText"/>
        <w:ind w:left="1299" w:right="1355"/>
      </w:pPr>
      <w:r>
        <w:t>The sharing and allocation of infrastructure costs among one-stop partners are governed by WIOA</w:t>
      </w:r>
      <w:r>
        <w:rPr>
          <w:spacing w:val="-4"/>
        </w:rPr>
        <w:t xml:space="preserve"> </w:t>
      </w:r>
      <w:r w:rsidR="00FB1CFE">
        <w:t>S</w:t>
      </w:r>
      <w:r>
        <w:t>ec.</w:t>
      </w:r>
      <w:r>
        <w:rPr>
          <w:spacing w:val="-3"/>
        </w:rPr>
        <w:t xml:space="preserve"> </w:t>
      </w:r>
      <w:r>
        <w:t>121(h),</w:t>
      </w:r>
      <w:r>
        <w:rPr>
          <w:spacing w:val="-3"/>
        </w:rPr>
        <w:t xml:space="preserve"> </w:t>
      </w:r>
      <w:r>
        <w:t>its</w:t>
      </w:r>
      <w:r>
        <w:rPr>
          <w:spacing w:val="-3"/>
        </w:rPr>
        <w:t xml:space="preserve"> </w:t>
      </w:r>
      <w:r>
        <w:t>implementing</w:t>
      </w:r>
      <w:r>
        <w:rPr>
          <w:spacing w:val="-5"/>
        </w:rPr>
        <w:t xml:space="preserve"> </w:t>
      </w:r>
      <w:r>
        <w:t>regulations,</w:t>
      </w:r>
      <w:r>
        <w:rPr>
          <w:spacing w:val="-3"/>
        </w:rPr>
        <w:t xml:space="preserve"> </w:t>
      </w:r>
      <w:r>
        <w:t>and</w:t>
      </w:r>
      <w:r>
        <w:rPr>
          <w:spacing w:val="-3"/>
        </w:rPr>
        <w:t xml:space="preserve"> </w:t>
      </w:r>
      <w:r>
        <w:t>the</w:t>
      </w:r>
      <w:r>
        <w:rPr>
          <w:spacing w:val="-4"/>
        </w:rPr>
        <w:t xml:space="preserve"> </w:t>
      </w:r>
      <w:r>
        <w:t>Federal</w:t>
      </w:r>
      <w:r>
        <w:rPr>
          <w:spacing w:val="-3"/>
        </w:rPr>
        <w:t xml:space="preserve"> </w:t>
      </w:r>
      <w:r>
        <w:t>Cost</w:t>
      </w:r>
      <w:r>
        <w:rPr>
          <w:spacing w:val="-3"/>
        </w:rPr>
        <w:t xml:space="preserve"> </w:t>
      </w:r>
      <w:r>
        <w:t>Principles</w:t>
      </w:r>
      <w:r>
        <w:rPr>
          <w:spacing w:val="-3"/>
        </w:rPr>
        <w:t xml:space="preserve"> </w:t>
      </w:r>
      <w:r>
        <w:t>contained</w:t>
      </w:r>
      <w:r>
        <w:rPr>
          <w:spacing w:val="-3"/>
        </w:rPr>
        <w:t xml:space="preserve"> </w:t>
      </w:r>
      <w:r>
        <w:t>in</w:t>
      </w:r>
      <w:r>
        <w:rPr>
          <w:spacing w:val="-3"/>
        </w:rPr>
        <w:t xml:space="preserve"> </w:t>
      </w:r>
      <w:r>
        <w:t>the Uniform Administrative Requirements, Cost Principles, and Audit Requirements for Federal Awards at 2 CFR part 200 (Uniform Guidance). All one-stop partner programs must contribute</w:t>
      </w:r>
      <w:r>
        <w:rPr>
          <w:spacing w:val="40"/>
        </w:rPr>
        <w:t xml:space="preserve"> </w:t>
      </w:r>
      <w:r>
        <w:t xml:space="preserve">to the infrastructure costs and certain additional costs of the one-stop delivery system based on their proportionate use, as required by 20 CFR </w:t>
      </w:r>
      <w:r w:rsidR="009148E4">
        <w:t>§§</w:t>
      </w:r>
      <w:r w:rsidR="009148E4">
        <w:t xml:space="preserve"> </w:t>
      </w:r>
      <w:r>
        <w:t xml:space="preserve">678.700 and 678.760, 34 CFR </w:t>
      </w:r>
      <w:r w:rsidR="009148E4">
        <w:t>§§</w:t>
      </w:r>
      <w:r w:rsidR="009148E4">
        <w:t xml:space="preserve"> </w:t>
      </w:r>
      <w:r>
        <w:t xml:space="preserve">361.700 and 361.760, and 34 CFR </w:t>
      </w:r>
      <w:r w:rsidR="009148E4">
        <w:t xml:space="preserve">VV </w:t>
      </w:r>
      <w:r>
        <w:t>463.700 and 463.760. A partner’s contribution must be an allowable, reasonable, necessary, and allocable cost to the program, consistent with the Federal Cost Principles set forth in the Uniform Guidance.</w:t>
      </w:r>
    </w:p>
    <w:p w14:paraId="365A9621" w14:textId="77777777" w:rsidR="00E41A5B" w:rsidRDefault="00E41A5B">
      <w:pPr>
        <w:pStyle w:val="BodyText"/>
        <w:jc w:val="left"/>
      </w:pPr>
    </w:p>
    <w:p w14:paraId="365A9622" w14:textId="4C69B928" w:rsidR="00E41A5B" w:rsidRDefault="00DA7B02">
      <w:pPr>
        <w:pStyle w:val="BodyText"/>
        <w:ind w:left="1299" w:right="1355"/>
      </w:pPr>
      <w:r>
        <w:t xml:space="preserve">This focuses on how infrastructure and additional costs are determined and paid for by one-stop partners in a local one-stop delivery system. The policy is applicable to required one-stop partners, as described in WIOA </w:t>
      </w:r>
      <w:r w:rsidR="009148E4">
        <w:t>S</w:t>
      </w:r>
      <w:r>
        <w:t xml:space="preserve">ec. 121(b)(1)(B) and 20 CFR </w:t>
      </w:r>
      <w:r w:rsidR="009148E4">
        <w:t>§§</w:t>
      </w:r>
      <w:r w:rsidR="009148E4">
        <w:t xml:space="preserve"> </w:t>
      </w:r>
      <w:r>
        <w:t>678.400, 34</w:t>
      </w:r>
      <w:r>
        <w:rPr>
          <w:spacing w:val="-1"/>
        </w:rPr>
        <w:t xml:space="preserve"> </w:t>
      </w:r>
      <w:r>
        <w:t xml:space="preserve">CFR 361.400, and 34 CFR </w:t>
      </w:r>
      <w:r w:rsidR="009148E4">
        <w:t>§§</w:t>
      </w:r>
      <w:r w:rsidR="009148E4">
        <w:t xml:space="preserve"> </w:t>
      </w:r>
      <w:r>
        <w:t xml:space="preserve">463.400, as well as additional partners described in WIOA </w:t>
      </w:r>
      <w:r w:rsidR="009148E4">
        <w:t>S</w:t>
      </w:r>
      <w:r>
        <w:t>ec. 121(b)(2)(B) and 20 CFR 678.410, 34 CFR 361.410, and 34 CFR 463.410. It describes the roles of Governors, State and LWDBs, Chief Elected Officials (CEOs), and local one-stop partner programs in determining infrastructure costs and navigating through the Local funding mechanism (LFM) and State funding mechanism (SFM) for those infrastructure costs.</w:t>
      </w:r>
    </w:p>
    <w:p w14:paraId="365A9623" w14:textId="77777777" w:rsidR="00E41A5B" w:rsidRDefault="00E41A5B">
      <w:pPr>
        <w:pStyle w:val="BodyText"/>
        <w:jc w:val="left"/>
      </w:pPr>
    </w:p>
    <w:p w14:paraId="365A9624" w14:textId="66793EC3" w:rsidR="00E41A5B" w:rsidRDefault="00DA7B02">
      <w:pPr>
        <w:pStyle w:val="ListParagraph"/>
        <w:numPr>
          <w:ilvl w:val="0"/>
          <w:numId w:val="22"/>
        </w:numPr>
        <w:tabs>
          <w:tab w:val="left" w:pos="1619"/>
        </w:tabs>
        <w:ind w:right="1357" w:firstLine="0"/>
        <w:rPr>
          <w:sz w:val="24"/>
        </w:rPr>
      </w:pPr>
      <w:r>
        <w:rPr>
          <w:b/>
          <w:sz w:val="24"/>
          <w:u w:val="single"/>
        </w:rPr>
        <w:t>Contextually</w:t>
      </w:r>
      <w:r>
        <w:rPr>
          <w:b/>
          <w:sz w:val="24"/>
        </w:rPr>
        <w:t xml:space="preserve">. </w:t>
      </w:r>
      <w:r>
        <w:rPr>
          <w:sz w:val="24"/>
        </w:rPr>
        <w:t>DOL, in coordination with Department of Education (ED), has established the one-stop centers, with American Job Centers (AJCs)</w:t>
      </w:r>
      <w:r>
        <w:rPr>
          <w:spacing w:val="-1"/>
          <w:sz w:val="24"/>
        </w:rPr>
        <w:t xml:space="preserve"> </w:t>
      </w:r>
      <w:r>
        <w:rPr>
          <w:sz w:val="24"/>
        </w:rPr>
        <w:t>as a</w:t>
      </w:r>
      <w:r>
        <w:rPr>
          <w:spacing w:val="-1"/>
          <w:sz w:val="24"/>
        </w:rPr>
        <w:t xml:space="preserve"> </w:t>
      </w:r>
      <w:r>
        <w:rPr>
          <w:sz w:val="24"/>
        </w:rPr>
        <w:t>unifying</w:t>
      </w:r>
      <w:r>
        <w:rPr>
          <w:spacing w:val="-2"/>
          <w:sz w:val="24"/>
        </w:rPr>
        <w:t xml:space="preserve"> </w:t>
      </w:r>
      <w:r>
        <w:rPr>
          <w:sz w:val="24"/>
        </w:rPr>
        <w:t xml:space="preserve">name and brand that identifies the online and in-person workforce development services as part of a single network (20 CFR </w:t>
      </w:r>
      <w:r w:rsidR="009148E4">
        <w:t>§§</w:t>
      </w:r>
      <w:r w:rsidR="009148E4">
        <w:t xml:space="preserve"> </w:t>
      </w:r>
      <w:r>
        <w:rPr>
          <w:sz w:val="24"/>
        </w:rPr>
        <w:t>678.900, 34 CFR 361.900, and 34 CFR 463.900).</w:t>
      </w:r>
    </w:p>
    <w:p w14:paraId="365A9625" w14:textId="77777777" w:rsidR="00E41A5B" w:rsidRDefault="00E41A5B">
      <w:pPr>
        <w:pStyle w:val="BodyText"/>
        <w:jc w:val="left"/>
      </w:pPr>
    </w:p>
    <w:p w14:paraId="7D671F21" w14:textId="77777777" w:rsidR="009148E4" w:rsidRDefault="00DA7B02" w:rsidP="009148E4">
      <w:pPr>
        <w:pStyle w:val="BodyText"/>
        <w:spacing w:before="1"/>
        <w:ind w:left="1300" w:right="1358"/>
        <w:rPr>
          <w:spacing w:val="-2"/>
        </w:rPr>
      </w:pPr>
      <w:r>
        <w:t xml:space="preserve">Under WIOA and its implementing regulations, consistent with the Uniform Guidance, funding provided by the one-stop partners to cover the operating costs, including infrastructure costs, of </w:t>
      </w:r>
      <w:r>
        <w:lastRenderedPageBreak/>
        <w:t xml:space="preserve">the one-stop delivery system must be based on the partner program’s proportionate use of the system and relative benefit received (WIOA </w:t>
      </w:r>
      <w:r w:rsidR="009148E4">
        <w:t>S</w:t>
      </w:r>
      <w:r>
        <w:t>ec. 121(h)(1)(B)(</w:t>
      </w:r>
      <w:proofErr w:type="spellStart"/>
      <w:r>
        <w:t>i</w:t>
      </w:r>
      <w:proofErr w:type="spellEnd"/>
      <w:r>
        <w:t>) and 121(h)(2)(C)(</w:t>
      </w:r>
      <w:proofErr w:type="spellStart"/>
      <w:r>
        <w:t>i</w:t>
      </w:r>
      <w:proofErr w:type="spellEnd"/>
      <w:r>
        <w:t xml:space="preserve">), 20 CFR </w:t>
      </w:r>
      <w:r w:rsidR="009148E4">
        <w:t xml:space="preserve">VV </w:t>
      </w:r>
      <w:r>
        <w:t>678.700</w:t>
      </w:r>
      <w:r>
        <w:rPr>
          <w:spacing w:val="49"/>
        </w:rPr>
        <w:t xml:space="preserve"> </w:t>
      </w:r>
      <w:r>
        <w:t>through</w:t>
      </w:r>
      <w:r>
        <w:rPr>
          <w:spacing w:val="51"/>
        </w:rPr>
        <w:t xml:space="preserve"> </w:t>
      </w:r>
      <w:r>
        <w:t>678.760,</w:t>
      </w:r>
      <w:r>
        <w:rPr>
          <w:spacing w:val="52"/>
        </w:rPr>
        <w:t xml:space="preserve"> </w:t>
      </w:r>
      <w:r>
        <w:t>34</w:t>
      </w:r>
      <w:r>
        <w:rPr>
          <w:spacing w:val="51"/>
        </w:rPr>
        <w:t xml:space="preserve"> </w:t>
      </w:r>
      <w:r>
        <w:t>CFR</w:t>
      </w:r>
      <w:r>
        <w:rPr>
          <w:spacing w:val="53"/>
        </w:rPr>
        <w:t xml:space="preserve"> </w:t>
      </w:r>
      <w:r>
        <w:t>361.700</w:t>
      </w:r>
      <w:r>
        <w:rPr>
          <w:spacing w:val="54"/>
        </w:rPr>
        <w:t xml:space="preserve"> </w:t>
      </w:r>
      <w:r>
        <w:t>through</w:t>
      </w:r>
      <w:r>
        <w:rPr>
          <w:spacing w:val="51"/>
        </w:rPr>
        <w:t xml:space="preserve"> </w:t>
      </w:r>
      <w:r>
        <w:t>361.760,</w:t>
      </w:r>
      <w:r>
        <w:rPr>
          <w:spacing w:val="55"/>
        </w:rPr>
        <w:t xml:space="preserve"> </w:t>
      </w:r>
      <w:r>
        <w:t>and</w:t>
      </w:r>
      <w:r>
        <w:rPr>
          <w:spacing w:val="54"/>
        </w:rPr>
        <w:t xml:space="preserve"> </w:t>
      </w:r>
      <w:r>
        <w:t>34</w:t>
      </w:r>
      <w:r>
        <w:rPr>
          <w:spacing w:val="55"/>
        </w:rPr>
        <w:t xml:space="preserve"> </w:t>
      </w:r>
      <w:r>
        <w:t>CFR</w:t>
      </w:r>
      <w:r>
        <w:rPr>
          <w:spacing w:val="52"/>
        </w:rPr>
        <w:t xml:space="preserve"> </w:t>
      </w:r>
      <w:r w:rsidR="009148E4">
        <w:t>§§</w:t>
      </w:r>
      <w:r w:rsidR="009148E4">
        <w:t xml:space="preserve"> </w:t>
      </w:r>
      <w:r>
        <w:t>463.700</w:t>
      </w:r>
      <w:r>
        <w:rPr>
          <w:spacing w:val="52"/>
        </w:rPr>
        <w:t xml:space="preserve"> </w:t>
      </w:r>
      <w:r>
        <w:rPr>
          <w:spacing w:val="-2"/>
        </w:rPr>
        <w:t>through</w:t>
      </w:r>
      <w:r w:rsidR="009148E4">
        <w:t xml:space="preserve"> </w:t>
      </w:r>
      <w:r>
        <w:rPr>
          <w:spacing w:val="-2"/>
        </w:rPr>
        <w:t>463.760).</w:t>
      </w:r>
    </w:p>
    <w:p w14:paraId="365A9629" w14:textId="38472920" w:rsidR="00E41A5B" w:rsidRDefault="00DA7B02" w:rsidP="009148E4">
      <w:pPr>
        <w:pStyle w:val="BodyText"/>
        <w:numPr>
          <w:ilvl w:val="0"/>
          <w:numId w:val="22"/>
        </w:numPr>
        <w:spacing w:before="1"/>
        <w:ind w:left="1620" w:right="1358"/>
      </w:pPr>
      <w:r w:rsidRPr="009148E4">
        <w:rPr>
          <w:b/>
          <w:u w:val="single"/>
        </w:rPr>
        <w:t>One</w:t>
      </w:r>
      <w:r>
        <w:rPr>
          <w:b/>
          <w:u w:val="single"/>
        </w:rPr>
        <w:t>-Stop Operating</w:t>
      </w:r>
      <w:r>
        <w:rPr>
          <w:b/>
          <w:spacing w:val="-2"/>
          <w:u w:val="single"/>
        </w:rPr>
        <w:t xml:space="preserve"> </w:t>
      </w:r>
      <w:r>
        <w:rPr>
          <w:b/>
          <w:u w:val="single"/>
        </w:rPr>
        <w:t>Budgets and Costs</w:t>
      </w:r>
      <w:r>
        <w:rPr>
          <w:b/>
        </w:rPr>
        <w:t>.</w:t>
      </w:r>
      <w:r>
        <w:rPr>
          <w:b/>
          <w:spacing w:val="40"/>
        </w:rPr>
        <w:t xml:space="preserve"> </w:t>
      </w:r>
      <w:r>
        <w:t>The</w:t>
      </w:r>
      <w:r>
        <w:rPr>
          <w:spacing w:val="-3"/>
        </w:rPr>
        <w:t xml:space="preserve"> </w:t>
      </w:r>
      <w:r>
        <w:t>operating</w:t>
      </w:r>
      <w:r>
        <w:rPr>
          <w:spacing w:val="-2"/>
        </w:rPr>
        <w:t xml:space="preserve"> </w:t>
      </w:r>
      <w:r>
        <w:t>budget of</w:t>
      </w:r>
      <w:r>
        <w:rPr>
          <w:spacing w:val="-1"/>
        </w:rPr>
        <w:t xml:space="preserve"> </w:t>
      </w:r>
      <w:r>
        <w:t>one-stop centers, or</w:t>
      </w:r>
      <w:r>
        <w:rPr>
          <w:spacing w:val="-1"/>
        </w:rPr>
        <w:t xml:space="preserve"> </w:t>
      </w:r>
      <w:r>
        <w:t>AJC, is the financial plan to which the one-stop partners, CEO(s), and LWDBs in each local area have agreed in the Memorandum of Understanding (MOU) that will be used to achieve their goals of delivering services in a local area. The MOU must contain, among other things, provisions describing how the costs of services provided by the one-stop system and how the operating</w:t>
      </w:r>
      <w:r>
        <w:rPr>
          <w:spacing w:val="40"/>
        </w:rPr>
        <w:t xml:space="preserve"> </w:t>
      </w:r>
      <w:r>
        <w:t>costs of such system will be funded, including the infrastructure costs for the one-stop system (WIOA</w:t>
      </w:r>
      <w:r>
        <w:rPr>
          <w:spacing w:val="-2"/>
        </w:rPr>
        <w:t xml:space="preserve"> </w:t>
      </w:r>
      <w:r w:rsidR="009148E4">
        <w:t>S</w:t>
      </w:r>
      <w:r>
        <w:t>ec.</w:t>
      </w:r>
      <w:r>
        <w:rPr>
          <w:spacing w:val="-1"/>
        </w:rPr>
        <w:t xml:space="preserve"> </w:t>
      </w:r>
      <w:r>
        <w:t>121(c)(2)(A)</w:t>
      </w:r>
      <w:r>
        <w:rPr>
          <w:spacing w:val="-2"/>
        </w:rPr>
        <w:t xml:space="preserve"> </w:t>
      </w:r>
      <w:r>
        <w:t>and</w:t>
      </w:r>
      <w:r>
        <w:rPr>
          <w:spacing w:val="-1"/>
        </w:rPr>
        <w:t xml:space="preserve"> </w:t>
      </w:r>
      <w:r>
        <w:t>20</w:t>
      </w:r>
      <w:r>
        <w:rPr>
          <w:spacing w:val="-1"/>
        </w:rPr>
        <w:t xml:space="preserve"> </w:t>
      </w:r>
      <w:r>
        <w:t>CFR</w:t>
      </w:r>
      <w:r>
        <w:rPr>
          <w:spacing w:val="-1"/>
        </w:rPr>
        <w:t xml:space="preserve"> </w:t>
      </w:r>
      <w:r w:rsidR="009148E4" w:rsidRPr="009148E4">
        <w:rPr>
          <w:spacing w:val="-1"/>
        </w:rPr>
        <w:t>§</w:t>
      </w:r>
      <w:r w:rsidR="009148E4">
        <w:rPr>
          <w:spacing w:val="-1"/>
        </w:rPr>
        <w:t xml:space="preserve"> </w:t>
      </w:r>
      <w:r>
        <w:t>678.500(b),</w:t>
      </w:r>
      <w:r>
        <w:rPr>
          <w:spacing w:val="-1"/>
        </w:rPr>
        <w:t xml:space="preserve"> </w:t>
      </w:r>
      <w:r>
        <w:t>34</w:t>
      </w:r>
      <w:r>
        <w:rPr>
          <w:spacing w:val="-1"/>
        </w:rPr>
        <w:t xml:space="preserve"> </w:t>
      </w:r>
      <w:r>
        <w:t>CFR</w:t>
      </w:r>
      <w:r>
        <w:rPr>
          <w:spacing w:val="-1"/>
        </w:rPr>
        <w:t xml:space="preserve"> </w:t>
      </w:r>
      <w:r w:rsidR="009148E4">
        <w:t>§§</w:t>
      </w:r>
      <w:r w:rsidR="009148E4">
        <w:t xml:space="preserve"> </w:t>
      </w:r>
      <w:r>
        <w:t>361.500(b),</w:t>
      </w:r>
      <w:r>
        <w:rPr>
          <w:spacing w:val="-1"/>
        </w:rPr>
        <w:t xml:space="preserve"> </w:t>
      </w:r>
      <w:r>
        <w:t>and</w:t>
      </w:r>
      <w:r>
        <w:rPr>
          <w:spacing w:val="-1"/>
        </w:rPr>
        <w:t xml:space="preserve"> </w:t>
      </w:r>
      <w:r>
        <w:t>34</w:t>
      </w:r>
      <w:r>
        <w:rPr>
          <w:spacing w:val="-1"/>
        </w:rPr>
        <w:t xml:space="preserve"> </w:t>
      </w:r>
      <w:r>
        <w:t>CFR</w:t>
      </w:r>
      <w:r>
        <w:rPr>
          <w:spacing w:val="-1"/>
        </w:rPr>
        <w:t xml:space="preserve"> </w:t>
      </w:r>
      <w:r>
        <w:t>463.500(b)).</w:t>
      </w:r>
    </w:p>
    <w:p w14:paraId="365A962A" w14:textId="77777777" w:rsidR="00E41A5B" w:rsidRDefault="00E41A5B">
      <w:pPr>
        <w:pStyle w:val="BodyText"/>
        <w:jc w:val="left"/>
      </w:pPr>
    </w:p>
    <w:p w14:paraId="365A962B" w14:textId="1D32C450" w:rsidR="00E41A5B" w:rsidRDefault="00DA7B02">
      <w:pPr>
        <w:pStyle w:val="BodyText"/>
        <w:ind w:left="1299" w:right="1355"/>
      </w:pPr>
      <w:r>
        <w:t xml:space="preserve">The one-stop operating budget may be considered the master budget that contains a set of individual budgets or components that consist of costs that are specifically identified in the statute: infrastructure costs, defined in WIOA </w:t>
      </w:r>
      <w:r w:rsidR="009148E4">
        <w:t>S</w:t>
      </w:r>
      <w:r>
        <w:t xml:space="preserve">ec. 121(h)(4); and additional costs, which must include applicable career services and may include shared operating costs and shared services that are related to the operation of the one-stop delivery system but do not constitute infrastructure costs. These additional costs are described in WIOA </w:t>
      </w:r>
      <w:r w:rsidR="009148E4">
        <w:t>S</w:t>
      </w:r>
      <w:r>
        <w:t>ec. 121(</w:t>
      </w:r>
      <w:proofErr w:type="spellStart"/>
      <w:r>
        <w:t>i</w:t>
      </w:r>
      <w:proofErr w:type="spellEnd"/>
      <w:r>
        <w:t>).</w:t>
      </w:r>
    </w:p>
    <w:p w14:paraId="365A962C" w14:textId="77777777" w:rsidR="00E41A5B" w:rsidRDefault="00E41A5B">
      <w:pPr>
        <w:pStyle w:val="BodyText"/>
        <w:jc w:val="left"/>
      </w:pPr>
    </w:p>
    <w:p w14:paraId="365A962D" w14:textId="77777777" w:rsidR="00E41A5B" w:rsidRDefault="00DA7B02">
      <w:pPr>
        <w:pStyle w:val="BodyText"/>
        <w:ind w:left="1299" w:right="1358"/>
      </w:pPr>
      <w:r>
        <w:t>The one-stop operating budget must be periodically reconciled against actual costs incurred and adjusted accordingly. This reconciliation ensures that the budget reflects a cost allocation methodology</w:t>
      </w:r>
      <w:r>
        <w:rPr>
          <w:spacing w:val="-8"/>
        </w:rPr>
        <w:t xml:space="preserve"> </w:t>
      </w:r>
      <w:r>
        <w:t>that</w:t>
      </w:r>
      <w:r>
        <w:rPr>
          <w:spacing w:val="-3"/>
        </w:rPr>
        <w:t xml:space="preserve"> </w:t>
      </w:r>
      <w:r>
        <w:t>demonstrates</w:t>
      </w:r>
      <w:r>
        <w:rPr>
          <w:spacing w:val="-3"/>
        </w:rPr>
        <w:t xml:space="preserve"> </w:t>
      </w:r>
      <w:r>
        <w:t>how</w:t>
      </w:r>
      <w:r>
        <w:rPr>
          <w:spacing w:val="-4"/>
        </w:rPr>
        <w:t xml:space="preserve"> </w:t>
      </w:r>
      <w:r>
        <w:t>infrastructure</w:t>
      </w:r>
      <w:r>
        <w:rPr>
          <w:spacing w:val="-2"/>
        </w:rPr>
        <w:t xml:space="preserve"> </w:t>
      </w:r>
      <w:r>
        <w:t>costs</w:t>
      </w:r>
      <w:r>
        <w:rPr>
          <w:spacing w:val="-3"/>
        </w:rPr>
        <w:t xml:space="preserve"> </w:t>
      </w:r>
      <w:r>
        <w:t>are</w:t>
      </w:r>
      <w:r>
        <w:rPr>
          <w:spacing w:val="-2"/>
        </w:rPr>
        <w:t xml:space="preserve"> </w:t>
      </w:r>
      <w:r>
        <w:t>charged</w:t>
      </w:r>
      <w:r>
        <w:rPr>
          <w:spacing w:val="-3"/>
        </w:rPr>
        <w:t xml:space="preserve"> </w:t>
      </w:r>
      <w:r>
        <w:t>to</w:t>
      </w:r>
      <w:r>
        <w:rPr>
          <w:spacing w:val="-3"/>
        </w:rPr>
        <w:t xml:space="preserve"> </w:t>
      </w:r>
      <w:r>
        <w:t>each</w:t>
      </w:r>
      <w:r>
        <w:rPr>
          <w:spacing w:val="-3"/>
        </w:rPr>
        <w:t xml:space="preserve"> </w:t>
      </w:r>
      <w:r>
        <w:t>partner</w:t>
      </w:r>
      <w:r>
        <w:rPr>
          <w:spacing w:val="-4"/>
        </w:rPr>
        <w:t xml:space="preserve"> </w:t>
      </w:r>
      <w:r>
        <w:t>in</w:t>
      </w:r>
      <w:r>
        <w:rPr>
          <w:spacing w:val="-3"/>
        </w:rPr>
        <w:t xml:space="preserve"> </w:t>
      </w:r>
      <w:r>
        <w:t>proportion to the partner’s use of the one-stop center and relative benefit received. The one-stop operating budget may be further refined by the one-stop partners, as needed, to assist in tracking their contributions. It may be necessary at times to separate the budget of a comprehensive one-stop center from a specialized one-stop center or an affiliate one-stop center.</w:t>
      </w:r>
    </w:p>
    <w:p w14:paraId="365A962E" w14:textId="77777777" w:rsidR="00E41A5B" w:rsidRDefault="00E41A5B">
      <w:pPr>
        <w:pStyle w:val="BodyText"/>
        <w:jc w:val="left"/>
      </w:pPr>
    </w:p>
    <w:p w14:paraId="365A962F" w14:textId="77777777" w:rsidR="00E41A5B" w:rsidRDefault="00DA7B02">
      <w:pPr>
        <w:pStyle w:val="BodyText"/>
        <w:ind w:left="1299" w:right="1358"/>
      </w:pPr>
      <w:r>
        <w:t>Attachment IV: One-Stop Operating Costs provides a diagram illustrating the organization of one-stop operating costs. One-stop operating costs include infrastructure costs and additional costs, which are made up of applicable career services, and may include shared operating costs, and shared services, as described below.</w:t>
      </w:r>
    </w:p>
    <w:p w14:paraId="365A9630" w14:textId="77777777" w:rsidR="00E41A5B" w:rsidRDefault="00E41A5B">
      <w:pPr>
        <w:pStyle w:val="BodyText"/>
        <w:jc w:val="left"/>
      </w:pPr>
    </w:p>
    <w:p w14:paraId="365A9631" w14:textId="068B9BE8" w:rsidR="00E41A5B" w:rsidRDefault="00DA7B02">
      <w:pPr>
        <w:pStyle w:val="BodyText"/>
        <w:ind w:left="1299" w:right="1355"/>
      </w:pPr>
      <w:r>
        <w:rPr>
          <w:b/>
        </w:rPr>
        <w:t xml:space="preserve">Infrastructure Costs. </w:t>
      </w:r>
      <w:r>
        <w:t>Infrastructure costs of AJCs are defined as non-personnel costs that are necessary for the general operation of the one-stop center, including: rental of the facilities; utilities and maintenance; equipment (including assessment-related and assistive technology for individuals with disabilities); and technology</w:t>
      </w:r>
      <w:r>
        <w:rPr>
          <w:spacing w:val="-3"/>
        </w:rPr>
        <w:t xml:space="preserve"> </w:t>
      </w:r>
      <w:r>
        <w:t xml:space="preserve">to facilitate access to the one-stop center, including technology used for the center’s planning and outreach activities (WIOA sec. 121(h)(4), 20 CFR </w:t>
      </w:r>
      <w:r w:rsidR="009148E4">
        <w:t>§</w:t>
      </w:r>
      <w:r w:rsidR="009148E4">
        <w:t xml:space="preserve"> </w:t>
      </w:r>
      <w:r>
        <w:t xml:space="preserve">678.700(a), 34 CFR </w:t>
      </w:r>
      <w:r w:rsidR="009148E4">
        <w:t>§</w:t>
      </w:r>
      <w:r w:rsidR="009148E4">
        <w:t xml:space="preserve"> </w:t>
      </w:r>
      <w:r>
        <w:t xml:space="preserve">361.700(a), and 34 CFR </w:t>
      </w:r>
      <w:r w:rsidR="009148E4">
        <w:t>§</w:t>
      </w:r>
      <w:r w:rsidR="009148E4">
        <w:t xml:space="preserve"> </w:t>
      </w:r>
      <w:r>
        <w:t xml:space="preserve">463.700(a)). This list is not exhaustive. For example, the costs associated with the development and use of the common identifier (i.e., AJC signage) and supplies, as defined in the Uniform Guidance at 2 CFR </w:t>
      </w:r>
      <w:r w:rsidR="009148E4">
        <w:t>§</w:t>
      </w:r>
      <w:r w:rsidR="009148E4">
        <w:t xml:space="preserve"> </w:t>
      </w:r>
      <w:r>
        <w:t>200.94, used to support the general operation of the one-stop center, may be considered allowable infrastructure costs. Reference SCP 1.4 section: One-stop Operator and Infrastructure percentage requirements and following table.</w:t>
      </w:r>
    </w:p>
    <w:p w14:paraId="365A9632" w14:textId="77777777" w:rsidR="00E41A5B" w:rsidRDefault="00E41A5B">
      <w:pPr>
        <w:pStyle w:val="BodyText"/>
        <w:jc w:val="left"/>
      </w:pPr>
    </w:p>
    <w:p w14:paraId="6B2FC7E7" w14:textId="77777777" w:rsidR="009148E4" w:rsidRDefault="00DA7B02" w:rsidP="009148E4">
      <w:pPr>
        <w:pStyle w:val="BodyText"/>
        <w:spacing w:before="1"/>
        <w:ind w:left="1751" w:right="1357"/>
      </w:pPr>
      <w:r>
        <w:rPr>
          <w:b/>
        </w:rPr>
        <w:t xml:space="preserve">Non-personnel costs. </w:t>
      </w:r>
      <w:r>
        <w:t xml:space="preserve">Non-personnel costs are all costs that are not compensation for </w:t>
      </w:r>
      <w:r>
        <w:lastRenderedPageBreak/>
        <w:t>personal services. For example, technology-related services performed by vendors or contractors are non-personnel costs and may be identified as infrastructure costs if they are necessary for the general operation of the one-stop center. Such costs may include service contracts with vendors or contractors, equipment, and supplies.</w:t>
      </w:r>
    </w:p>
    <w:p w14:paraId="18AB6BBC" w14:textId="77777777" w:rsidR="009148E4" w:rsidRDefault="009148E4" w:rsidP="009148E4">
      <w:pPr>
        <w:pStyle w:val="BodyText"/>
        <w:spacing w:before="1"/>
        <w:ind w:left="1751" w:right="1357"/>
        <w:rPr>
          <w:b/>
        </w:rPr>
      </w:pPr>
    </w:p>
    <w:p w14:paraId="365A9635" w14:textId="52A17FAA" w:rsidR="00E41A5B" w:rsidRDefault="00DA7B02" w:rsidP="009148E4">
      <w:pPr>
        <w:pStyle w:val="BodyText"/>
        <w:spacing w:before="1"/>
        <w:ind w:left="1751" w:right="1357"/>
        <w:rPr>
          <w:sz w:val="23"/>
        </w:rPr>
      </w:pPr>
      <w:r>
        <w:rPr>
          <w:b/>
        </w:rPr>
        <w:t>Personnel</w:t>
      </w:r>
      <w:r>
        <w:rPr>
          <w:b/>
          <w:spacing w:val="-2"/>
        </w:rPr>
        <w:t xml:space="preserve"> </w:t>
      </w:r>
      <w:r>
        <w:rPr>
          <w:b/>
        </w:rPr>
        <w:t>costs.</w:t>
      </w:r>
      <w:r>
        <w:rPr>
          <w:b/>
          <w:spacing w:val="40"/>
        </w:rPr>
        <w:t xml:space="preserve"> </w:t>
      </w:r>
      <w:r>
        <w:t>In contrast</w:t>
      </w:r>
      <w:r>
        <w:rPr>
          <w:spacing w:val="-2"/>
        </w:rPr>
        <w:t xml:space="preserve"> </w:t>
      </w:r>
      <w:r>
        <w:t>to</w:t>
      </w:r>
      <w:r>
        <w:rPr>
          <w:spacing w:val="-2"/>
        </w:rPr>
        <w:t xml:space="preserve"> </w:t>
      </w:r>
      <w:r>
        <w:t>non-personnel</w:t>
      </w:r>
      <w:r>
        <w:rPr>
          <w:spacing w:val="-2"/>
        </w:rPr>
        <w:t xml:space="preserve"> </w:t>
      </w:r>
      <w:r>
        <w:t>costs</w:t>
      </w:r>
      <w:r>
        <w:rPr>
          <w:spacing w:val="-2"/>
        </w:rPr>
        <w:t xml:space="preserve"> </w:t>
      </w:r>
      <w:r>
        <w:t>for</w:t>
      </w:r>
      <w:r>
        <w:rPr>
          <w:spacing w:val="-3"/>
        </w:rPr>
        <w:t xml:space="preserve"> </w:t>
      </w:r>
      <w:r>
        <w:t>the</w:t>
      </w:r>
      <w:r>
        <w:rPr>
          <w:spacing w:val="-3"/>
        </w:rPr>
        <w:t xml:space="preserve"> </w:t>
      </w:r>
      <w:r>
        <w:t>one-stop</w:t>
      </w:r>
      <w:r>
        <w:rPr>
          <w:spacing w:val="-2"/>
        </w:rPr>
        <w:t xml:space="preserve"> </w:t>
      </w:r>
      <w:r>
        <w:t>system,</w:t>
      </w:r>
      <w:r>
        <w:rPr>
          <w:spacing w:val="-2"/>
        </w:rPr>
        <w:t xml:space="preserve"> </w:t>
      </w:r>
      <w:r>
        <w:t>personnel</w:t>
      </w:r>
      <w:r>
        <w:rPr>
          <w:spacing w:val="-2"/>
        </w:rPr>
        <w:t xml:space="preserve"> </w:t>
      </w:r>
      <w:r>
        <w:t>costs include salaries, wages, and fringe benefits of the employees of partner programs or their</w:t>
      </w:r>
      <w:r>
        <w:rPr>
          <w:spacing w:val="40"/>
        </w:rPr>
        <w:t xml:space="preserve"> </w:t>
      </w:r>
      <w:r>
        <w:t xml:space="preserve">sub recipients, as described in 2 CFR </w:t>
      </w:r>
      <w:r w:rsidR="009148E4">
        <w:t>§</w:t>
      </w:r>
      <w:r w:rsidR="009148E4">
        <w:t xml:space="preserve"> </w:t>
      </w:r>
      <w:r>
        <w:t xml:space="preserve">200.430 (Compensation – personal services) and 2 CFR </w:t>
      </w:r>
      <w:r w:rsidR="009148E4">
        <w:t>§</w:t>
      </w:r>
      <w:r w:rsidR="009148E4">
        <w:t xml:space="preserve"> </w:t>
      </w:r>
      <w:r>
        <w:t xml:space="preserve">200.431 (Compensation – fringe benefits) of the Uniform Guidance. For example, allocable salary and fringe benefit costs of partner program staff who work on information technology systems (i.e., common performance and reporting outcomes) for use by the one- stop center </w:t>
      </w:r>
      <w:proofErr w:type="gramStart"/>
      <w:r>
        <w:t xml:space="preserve">as a </w:t>
      </w:r>
      <w:r>
        <w:rPr>
          <w:sz w:val="23"/>
        </w:rPr>
        <w:t>whole would</w:t>
      </w:r>
      <w:proofErr w:type="gramEnd"/>
      <w:r>
        <w:rPr>
          <w:sz w:val="23"/>
        </w:rPr>
        <w:t xml:space="preserve"> be personnel costs and would be identified as additional costs – not infrastructure costs. The cost of a shared welcome desk or greeter directing employers and customers to the services or staff that are available in that one-stop center is a personnel</w:t>
      </w:r>
      <w:r>
        <w:rPr>
          <w:spacing w:val="40"/>
          <w:sz w:val="23"/>
        </w:rPr>
        <w:t xml:space="preserve"> </w:t>
      </w:r>
      <w:r>
        <w:rPr>
          <w:sz w:val="23"/>
        </w:rPr>
        <w:t>expense.</w:t>
      </w:r>
      <w:r>
        <w:rPr>
          <w:spacing w:val="-2"/>
          <w:sz w:val="23"/>
        </w:rPr>
        <w:t xml:space="preserve"> </w:t>
      </w:r>
      <w:r>
        <w:rPr>
          <w:sz w:val="23"/>
        </w:rPr>
        <w:t>These costs, therefore, could not be included in infrastructure costs,</w:t>
      </w:r>
      <w:r>
        <w:rPr>
          <w:spacing w:val="-2"/>
          <w:sz w:val="23"/>
        </w:rPr>
        <w:t xml:space="preserve"> </w:t>
      </w:r>
      <w:r>
        <w:rPr>
          <w:sz w:val="23"/>
        </w:rPr>
        <w:t>but are included as “additional costs” in the one-stop operating budget.</w:t>
      </w:r>
    </w:p>
    <w:p w14:paraId="365A9636" w14:textId="77777777" w:rsidR="00E41A5B" w:rsidRDefault="00DA7B02">
      <w:pPr>
        <w:pStyle w:val="BodyText"/>
        <w:spacing w:before="183"/>
        <w:ind w:left="1300" w:right="1355"/>
      </w:pPr>
      <w:r>
        <w:rPr>
          <w:b/>
        </w:rPr>
        <w:t>A</w:t>
      </w:r>
      <w:r>
        <w:rPr>
          <w:b/>
        </w:rPr>
        <w:t>dditional Costs.</w:t>
      </w:r>
      <w:r>
        <w:rPr>
          <w:b/>
          <w:spacing w:val="40"/>
        </w:rPr>
        <w:t xml:space="preserve"> </w:t>
      </w:r>
      <w:r>
        <w:t>One-stop partners must share in additional costs, which must include applicable career services, and may include shared operating costs and shared services that are necessary for the general operation of the one-stop center.</w:t>
      </w:r>
    </w:p>
    <w:p w14:paraId="365A9637" w14:textId="7B3623B9" w:rsidR="00E41A5B" w:rsidRDefault="00DA7B02">
      <w:pPr>
        <w:pStyle w:val="BodyText"/>
        <w:spacing w:before="185"/>
        <w:ind w:left="1300" w:right="1354"/>
      </w:pPr>
      <w:r>
        <w:rPr>
          <w:i/>
        </w:rPr>
        <w:t>Career Services</w:t>
      </w:r>
      <w:r>
        <w:t xml:space="preserve">. One-stop partners must ensure that at least some career services, described in WIOA </w:t>
      </w:r>
      <w:r w:rsidR="009148E4">
        <w:t>S</w:t>
      </w:r>
      <w:r>
        <w:t xml:space="preserve">ec. 134(c)(2), are provided at the one-stop center. Additional requirements regarding career services may be found at WIOA </w:t>
      </w:r>
      <w:r w:rsidR="009148E4">
        <w:t>S</w:t>
      </w:r>
      <w:r>
        <w:t>ec. 121(b)(1)(A)(</w:t>
      </w:r>
      <w:proofErr w:type="spellStart"/>
      <w:r>
        <w:t>i</w:t>
      </w:r>
      <w:proofErr w:type="spellEnd"/>
      <w:r>
        <w:t>), (c)(2)(A)(ii), (e)(1)(A), and (</w:t>
      </w:r>
      <w:proofErr w:type="spellStart"/>
      <w:r>
        <w:t>i</w:t>
      </w:r>
      <w:proofErr w:type="spellEnd"/>
      <w:r>
        <w:t>)(1),</w:t>
      </w:r>
      <w:r>
        <w:rPr>
          <w:spacing w:val="40"/>
        </w:rPr>
        <w:t xml:space="preserve"> </w:t>
      </w:r>
      <w:r>
        <w:t xml:space="preserve">20 CFR </w:t>
      </w:r>
      <w:r w:rsidR="009148E4">
        <w:t>§§</w:t>
      </w:r>
      <w:r w:rsidR="009148E4">
        <w:t xml:space="preserve"> </w:t>
      </w:r>
      <w:r>
        <w:t xml:space="preserve">678.760, 34 CFR 361.760, and 34 CFR 463.760. Please also see a detailed discussion about the provision of career services at the one-stop centers in the </w:t>
      </w:r>
      <w:r>
        <w:rPr>
          <w:i/>
        </w:rPr>
        <w:t>General Guidance for the American Job Center Network in the Operation of One-Stop Centers</w:t>
      </w:r>
      <w:r>
        <w:t>, issued jointly by DOL and ED, via DOL’s TEGL, ED’s Office of Career, Technical, and Adult Education’s Program Memorandum,</w:t>
      </w:r>
      <w:r>
        <w:rPr>
          <w:spacing w:val="-6"/>
        </w:rPr>
        <w:t xml:space="preserve"> </w:t>
      </w:r>
      <w:r>
        <w:t>and</w:t>
      </w:r>
      <w:r>
        <w:rPr>
          <w:spacing w:val="-3"/>
        </w:rPr>
        <w:t xml:space="preserve"> </w:t>
      </w:r>
      <w:r>
        <w:t>ED’s</w:t>
      </w:r>
      <w:r>
        <w:rPr>
          <w:spacing w:val="-1"/>
        </w:rPr>
        <w:t xml:space="preserve"> </w:t>
      </w:r>
      <w:r>
        <w:t>Rehabilitation</w:t>
      </w:r>
      <w:r>
        <w:rPr>
          <w:spacing w:val="-3"/>
        </w:rPr>
        <w:t xml:space="preserve"> </w:t>
      </w:r>
      <w:r>
        <w:t>Services</w:t>
      </w:r>
      <w:r>
        <w:rPr>
          <w:spacing w:val="-3"/>
        </w:rPr>
        <w:t xml:space="preserve"> </w:t>
      </w:r>
      <w:r>
        <w:t>Administration’s</w:t>
      </w:r>
      <w:r>
        <w:rPr>
          <w:spacing w:val="-3"/>
        </w:rPr>
        <w:t xml:space="preserve"> </w:t>
      </w:r>
      <w:r>
        <w:t>Technical</w:t>
      </w:r>
      <w:r>
        <w:rPr>
          <w:spacing w:val="-3"/>
        </w:rPr>
        <w:t xml:space="preserve"> </w:t>
      </w:r>
      <w:r>
        <w:t>Assistance</w:t>
      </w:r>
      <w:r>
        <w:rPr>
          <w:spacing w:val="-4"/>
        </w:rPr>
        <w:t xml:space="preserve"> </w:t>
      </w:r>
      <w:r>
        <w:rPr>
          <w:spacing w:val="-2"/>
        </w:rPr>
        <w:t>Circular.</w:t>
      </w:r>
    </w:p>
    <w:p w14:paraId="365A9638" w14:textId="606222CE" w:rsidR="00E41A5B" w:rsidRDefault="00DA7B02">
      <w:pPr>
        <w:pStyle w:val="BodyText"/>
        <w:spacing w:before="185"/>
        <w:ind w:left="1299" w:right="1356"/>
      </w:pPr>
      <w:r>
        <w:rPr>
          <w:i/>
        </w:rPr>
        <w:t>Shared Operating Costs and Shared Services</w:t>
      </w:r>
      <w:r>
        <w:t>. One-stop partners also may share other costs that support the operations of the one-stop centers, as well as the costs of shared services. The costs</w:t>
      </w:r>
      <w:r>
        <w:rPr>
          <w:spacing w:val="40"/>
        </w:rPr>
        <w:t xml:space="preserve"> </w:t>
      </w:r>
      <w:r>
        <w:t>of shared services may include initial intake, assessment of needs, appraisal of basic skills, identification of appropriate</w:t>
      </w:r>
      <w:r>
        <w:rPr>
          <w:spacing w:val="-1"/>
        </w:rPr>
        <w:t xml:space="preserve"> </w:t>
      </w:r>
      <w:r>
        <w:t xml:space="preserve">services to meet such needs, referrals to other one-stop partners, and business services (WIOA </w:t>
      </w:r>
      <w:r w:rsidR="009148E4">
        <w:t>S</w:t>
      </w:r>
      <w:r>
        <w:t>ec. 121(</w:t>
      </w:r>
      <w:proofErr w:type="spellStart"/>
      <w:r>
        <w:t>i</w:t>
      </w:r>
      <w:proofErr w:type="spellEnd"/>
      <w:r>
        <w:t xml:space="preserve">)(2), 20 CFR </w:t>
      </w:r>
      <w:r w:rsidR="009148E4">
        <w:t>§</w:t>
      </w:r>
      <w:r w:rsidR="009148E4">
        <w:t xml:space="preserve"> </w:t>
      </w:r>
      <w:r>
        <w:t xml:space="preserve">678.760, 34 CFR </w:t>
      </w:r>
      <w:r w:rsidR="009148E4">
        <w:t>§</w:t>
      </w:r>
      <w:r w:rsidR="009148E4">
        <w:t xml:space="preserve"> </w:t>
      </w:r>
      <w:r>
        <w:t xml:space="preserve">361.760, and 34 CFR </w:t>
      </w:r>
      <w:r w:rsidR="009148E4">
        <w:t>§</w:t>
      </w:r>
      <w:r w:rsidR="009148E4">
        <w:t xml:space="preserve"> </w:t>
      </w:r>
      <w:r>
        <w:t xml:space="preserve">463.760). As discussed in more detail in the section pertaining to personnel costs above, such costs also may include personnel expenses associated with a shared welcome desk or greeter directing employers and customers to the services or staff that are available in that one-stop </w:t>
      </w:r>
      <w:r>
        <w:rPr>
          <w:spacing w:val="-2"/>
        </w:rPr>
        <w:t>center.</w:t>
      </w:r>
    </w:p>
    <w:p w14:paraId="365A9639" w14:textId="783F88D5" w:rsidR="00E41A5B" w:rsidRDefault="00DA7B02">
      <w:pPr>
        <w:pStyle w:val="BodyText"/>
        <w:spacing w:before="182"/>
        <w:ind w:left="1299" w:right="1353"/>
      </w:pPr>
      <w:r>
        <w:t xml:space="preserve">A portion of the costs of LWDB staff who perform functions that are not otherwise paid with WIOA </w:t>
      </w:r>
      <w:r w:rsidR="009148E4">
        <w:t>T</w:t>
      </w:r>
      <w:r>
        <w:t xml:space="preserve">itle I funds and support the general operations of the one-stop centers may also be included as additional costs. An example of such shared operating costs would be </w:t>
      </w:r>
      <w:proofErr w:type="gramStart"/>
      <w:r>
        <w:t>a LWDB</w:t>
      </w:r>
      <w:proofErr w:type="gramEnd"/>
      <w:r>
        <w:t xml:space="preserve"> staff person acting as the office manager in a one-stop center. As with any additional costs paid by partner programs for the operations of the one-stop delivery</w:t>
      </w:r>
      <w:r>
        <w:rPr>
          <w:spacing w:val="-1"/>
        </w:rPr>
        <w:t xml:space="preserve"> </w:t>
      </w:r>
      <w:r>
        <w:t>system, these shared operating costs must be proportionate to the use of the partner program and consistent with the Federal Cost Principles of the Uniform Guidance set forth in 2 CFR part 200. Reference 20 CFR § 678.600 which indicates the requirements for a LWDB to operate a One-stop.</w:t>
      </w:r>
    </w:p>
    <w:p w14:paraId="365A963D" w14:textId="5191DCE7" w:rsidR="00E41A5B" w:rsidRPr="009148E4" w:rsidRDefault="00DA7B02" w:rsidP="009148E4">
      <w:pPr>
        <w:pStyle w:val="ListParagraph"/>
        <w:numPr>
          <w:ilvl w:val="0"/>
          <w:numId w:val="22"/>
        </w:numPr>
        <w:tabs>
          <w:tab w:val="left" w:pos="1566"/>
        </w:tabs>
        <w:spacing w:before="72"/>
        <w:ind w:right="1358" w:firstLine="0"/>
        <w:rPr>
          <w:sz w:val="24"/>
          <w:szCs w:val="24"/>
        </w:rPr>
      </w:pPr>
      <w:r w:rsidRPr="009148E4">
        <w:rPr>
          <w:b/>
          <w:sz w:val="24"/>
          <w:u w:val="single"/>
        </w:rPr>
        <w:lastRenderedPageBreak/>
        <w:t>One-Stop Partners</w:t>
      </w:r>
      <w:r w:rsidRPr="009148E4">
        <w:rPr>
          <w:b/>
          <w:sz w:val="24"/>
        </w:rPr>
        <w:t xml:space="preserve">. </w:t>
      </w:r>
      <w:r w:rsidRPr="009148E4">
        <w:rPr>
          <w:sz w:val="24"/>
        </w:rPr>
        <w:t xml:space="preserve">One-stop partners are the entities that carry out the program in a local area. The one-stop delivery system, as identified in 20 CFR </w:t>
      </w:r>
      <w:r w:rsidR="009148E4">
        <w:t>§</w:t>
      </w:r>
      <w:r w:rsidR="009148E4">
        <w:t xml:space="preserve"> </w:t>
      </w:r>
      <w:r w:rsidRPr="009148E4">
        <w:rPr>
          <w:sz w:val="24"/>
        </w:rPr>
        <w:t xml:space="preserve">678.300, 34 CFR </w:t>
      </w:r>
      <w:r w:rsidR="009148E4">
        <w:t>§</w:t>
      </w:r>
      <w:r w:rsidR="009148E4">
        <w:t xml:space="preserve"> </w:t>
      </w:r>
      <w:r w:rsidRPr="009148E4">
        <w:rPr>
          <w:sz w:val="24"/>
        </w:rPr>
        <w:t xml:space="preserve">361.300, and 34 CFR </w:t>
      </w:r>
      <w:r w:rsidR="009148E4">
        <w:t>§</w:t>
      </w:r>
      <w:r w:rsidR="009148E4">
        <w:t xml:space="preserve"> </w:t>
      </w:r>
      <w:r w:rsidRPr="009148E4">
        <w:rPr>
          <w:sz w:val="24"/>
        </w:rPr>
        <w:t xml:space="preserve">463.300, must include comprehensive one-stop centers, </w:t>
      </w:r>
      <w:proofErr w:type="gramStart"/>
      <w:r w:rsidRPr="009148E4">
        <w:rPr>
          <w:sz w:val="24"/>
        </w:rPr>
        <w:t>and also</w:t>
      </w:r>
      <w:proofErr w:type="gramEnd"/>
      <w:r w:rsidRPr="009148E4">
        <w:rPr>
          <w:sz w:val="24"/>
        </w:rPr>
        <w:t xml:space="preserve"> may include affiliate one-</w:t>
      </w:r>
      <w:r w:rsidRPr="009148E4">
        <w:rPr>
          <w:sz w:val="24"/>
          <w:szCs w:val="24"/>
        </w:rPr>
        <w:t>stop centers or specialized one-stop centers. Required partner programs and additional partners that carry</w:t>
      </w:r>
      <w:r w:rsidRPr="009148E4">
        <w:rPr>
          <w:spacing w:val="-2"/>
          <w:sz w:val="24"/>
          <w:szCs w:val="24"/>
        </w:rPr>
        <w:t xml:space="preserve"> </w:t>
      </w:r>
      <w:r w:rsidRPr="009148E4">
        <w:rPr>
          <w:sz w:val="24"/>
          <w:szCs w:val="24"/>
        </w:rPr>
        <w:t>out their program in the local area are required to share infrastructure costs and certain additional costs</w:t>
      </w:r>
      <w:r w:rsidRPr="009148E4">
        <w:rPr>
          <w:spacing w:val="1"/>
          <w:sz w:val="24"/>
          <w:szCs w:val="24"/>
        </w:rPr>
        <w:t xml:space="preserve"> </w:t>
      </w:r>
      <w:r w:rsidRPr="009148E4">
        <w:rPr>
          <w:sz w:val="24"/>
          <w:szCs w:val="24"/>
        </w:rPr>
        <w:t>(20</w:t>
      </w:r>
      <w:r w:rsidRPr="009148E4">
        <w:rPr>
          <w:spacing w:val="1"/>
          <w:sz w:val="24"/>
          <w:szCs w:val="24"/>
        </w:rPr>
        <w:t xml:space="preserve"> </w:t>
      </w:r>
      <w:r w:rsidRPr="009148E4">
        <w:rPr>
          <w:sz w:val="24"/>
          <w:szCs w:val="24"/>
        </w:rPr>
        <w:t>CFR</w:t>
      </w:r>
      <w:r w:rsidRPr="009148E4">
        <w:rPr>
          <w:spacing w:val="2"/>
          <w:sz w:val="24"/>
          <w:szCs w:val="24"/>
        </w:rPr>
        <w:t xml:space="preserve"> </w:t>
      </w:r>
      <w:r w:rsidRPr="009148E4">
        <w:rPr>
          <w:sz w:val="24"/>
          <w:szCs w:val="24"/>
        </w:rPr>
        <w:t>678.700(c),</w:t>
      </w:r>
      <w:r w:rsidRPr="009148E4">
        <w:rPr>
          <w:spacing w:val="1"/>
          <w:sz w:val="24"/>
          <w:szCs w:val="24"/>
        </w:rPr>
        <w:t xml:space="preserve"> </w:t>
      </w:r>
      <w:r w:rsidRPr="009148E4">
        <w:rPr>
          <w:sz w:val="24"/>
          <w:szCs w:val="24"/>
        </w:rPr>
        <w:t>678.415,</w:t>
      </w:r>
      <w:r w:rsidRPr="009148E4">
        <w:rPr>
          <w:spacing w:val="1"/>
          <w:sz w:val="24"/>
          <w:szCs w:val="24"/>
        </w:rPr>
        <w:t xml:space="preserve"> </w:t>
      </w:r>
      <w:r w:rsidRPr="009148E4">
        <w:rPr>
          <w:sz w:val="24"/>
          <w:szCs w:val="24"/>
        </w:rPr>
        <w:t>and</w:t>
      </w:r>
      <w:r w:rsidRPr="009148E4">
        <w:rPr>
          <w:spacing w:val="1"/>
          <w:sz w:val="24"/>
          <w:szCs w:val="24"/>
        </w:rPr>
        <w:t xml:space="preserve"> </w:t>
      </w:r>
      <w:r w:rsidRPr="009148E4">
        <w:rPr>
          <w:sz w:val="24"/>
          <w:szCs w:val="24"/>
        </w:rPr>
        <w:t>678.420(b),</w:t>
      </w:r>
      <w:r w:rsidRPr="009148E4">
        <w:rPr>
          <w:spacing w:val="1"/>
          <w:sz w:val="24"/>
          <w:szCs w:val="24"/>
        </w:rPr>
        <w:t xml:space="preserve"> </w:t>
      </w:r>
      <w:r w:rsidRPr="009148E4">
        <w:rPr>
          <w:sz w:val="24"/>
          <w:szCs w:val="24"/>
        </w:rPr>
        <w:t>34</w:t>
      </w:r>
      <w:r w:rsidRPr="009148E4">
        <w:rPr>
          <w:spacing w:val="1"/>
          <w:sz w:val="24"/>
          <w:szCs w:val="24"/>
        </w:rPr>
        <w:t xml:space="preserve"> </w:t>
      </w:r>
      <w:r w:rsidRPr="009148E4">
        <w:rPr>
          <w:sz w:val="24"/>
          <w:szCs w:val="24"/>
        </w:rPr>
        <w:t>CFR</w:t>
      </w:r>
      <w:r w:rsidRPr="009148E4">
        <w:rPr>
          <w:spacing w:val="2"/>
          <w:sz w:val="24"/>
          <w:szCs w:val="24"/>
        </w:rPr>
        <w:t xml:space="preserve"> </w:t>
      </w:r>
      <w:r w:rsidRPr="009148E4">
        <w:rPr>
          <w:sz w:val="24"/>
          <w:szCs w:val="24"/>
        </w:rPr>
        <w:t>361.700(c),</w:t>
      </w:r>
      <w:r w:rsidRPr="009148E4">
        <w:rPr>
          <w:spacing w:val="1"/>
          <w:sz w:val="24"/>
          <w:szCs w:val="24"/>
        </w:rPr>
        <w:t xml:space="preserve"> </w:t>
      </w:r>
      <w:r w:rsidRPr="009148E4">
        <w:rPr>
          <w:sz w:val="24"/>
          <w:szCs w:val="24"/>
        </w:rPr>
        <w:t>361.415,</w:t>
      </w:r>
      <w:r w:rsidRPr="009148E4">
        <w:rPr>
          <w:spacing w:val="1"/>
          <w:sz w:val="24"/>
          <w:szCs w:val="24"/>
        </w:rPr>
        <w:t xml:space="preserve"> </w:t>
      </w:r>
      <w:r w:rsidRPr="009148E4">
        <w:rPr>
          <w:spacing w:val="-5"/>
          <w:sz w:val="24"/>
          <w:szCs w:val="24"/>
        </w:rPr>
        <w:t>and</w:t>
      </w:r>
      <w:r w:rsidR="009148E4">
        <w:rPr>
          <w:spacing w:val="-5"/>
          <w:sz w:val="24"/>
          <w:szCs w:val="24"/>
        </w:rPr>
        <w:t xml:space="preserve"> </w:t>
      </w:r>
      <w:r w:rsidRPr="009148E4">
        <w:rPr>
          <w:sz w:val="24"/>
          <w:szCs w:val="24"/>
        </w:rPr>
        <w:t xml:space="preserve">361.420(b), and 34 CFR 463.700(c), 463.415, and 463.420(b)). All one-stop </w:t>
      </w:r>
      <w:r w:rsidRPr="009148E4">
        <w:rPr>
          <w:sz w:val="24"/>
          <w:szCs w:val="24"/>
        </w:rPr>
        <w:t>partners</w:t>
      </w:r>
      <w:r w:rsidRPr="009148E4">
        <w:rPr>
          <w:sz w:val="24"/>
          <w:szCs w:val="24"/>
        </w:rPr>
        <w:t>, whether they</w:t>
      </w:r>
      <w:r w:rsidRPr="009148E4">
        <w:rPr>
          <w:spacing w:val="26"/>
          <w:sz w:val="24"/>
          <w:szCs w:val="24"/>
        </w:rPr>
        <w:t xml:space="preserve"> </w:t>
      </w:r>
      <w:r w:rsidRPr="009148E4">
        <w:rPr>
          <w:sz w:val="24"/>
          <w:szCs w:val="24"/>
        </w:rPr>
        <w:t>are</w:t>
      </w:r>
      <w:r w:rsidRPr="009148E4">
        <w:rPr>
          <w:spacing w:val="28"/>
          <w:sz w:val="24"/>
          <w:szCs w:val="24"/>
        </w:rPr>
        <w:t xml:space="preserve"> </w:t>
      </w:r>
      <w:r w:rsidRPr="009148E4">
        <w:rPr>
          <w:sz w:val="24"/>
          <w:szCs w:val="24"/>
        </w:rPr>
        <w:t>required</w:t>
      </w:r>
      <w:r w:rsidRPr="009148E4">
        <w:rPr>
          <w:spacing w:val="29"/>
          <w:sz w:val="24"/>
          <w:szCs w:val="24"/>
        </w:rPr>
        <w:t xml:space="preserve"> </w:t>
      </w:r>
      <w:r w:rsidRPr="009148E4">
        <w:rPr>
          <w:sz w:val="24"/>
          <w:szCs w:val="24"/>
        </w:rPr>
        <w:t>partners</w:t>
      </w:r>
      <w:r w:rsidRPr="009148E4">
        <w:rPr>
          <w:spacing w:val="29"/>
          <w:sz w:val="24"/>
          <w:szCs w:val="24"/>
        </w:rPr>
        <w:t xml:space="preserve"> </w:t>
      </w:r>
      <w:r w:rsidRPr="009148E4">
        <w:rPr>
          <w:sz w:val="24"/>
          <w:szCs w:val="24"/>
        </w:rPr>
        <w:t>or</w:t>
      </w:r>
      <w:r w:rsidRPr="009148E4">
        <w:rPr>
          <w:spacing w:val="30"/>
          <w:sz w:val="24"/>
          <w:szCs w:val="24"/>
        </w:rPr>
        <w:t xml:space="preserve"> </w:t>
      </w:r>
      <w:r w:rsidRPr="009148E4">
        <w:rPr>
          <w:sz w:val="24"/>
          <w:szCs w:val="24"/>
        </w:rPr>
        <w:t>additional</w:t>
      </w:r>
      <w:r w:rsidRPr="009148E4">
        <w:rPr>
          <w:spacing w:val="29"/>
          <w:sz w:val="24"/>
          <w:szCs w:val="24"/>
        </w:rPr>
        <w:t xml:space="preserve"> </w:t>
      </w:r>
      <w:r w:rsidRPr="009148E4">
        <w:rPr>
          <w:sz w:val="24"/>
          <w:szCs w:val="24"/>
        </w:rPr>
        <w:t>partners,</w:t>
      </w:r>
      <w:r w:rsidRPr="009148E4">
        <w:rPr>
          <w:spacing w:val="31"/>
          <w:sz w:val="24"/>
          <w:szCs w:val="24"/>
        </w:rPr>
        <w:t xml:space="preserve"> </w:t>
      </w:r>
      <w:r w:rsidRPr="009148E4">
        <w:rPr>
          <w:sz w:val="24"/>
          <w:szCs w:val="24"/>
        </w:rPr>
        <w:t>must</w:t>
      </w:r>
      <w:r w:rsidRPr="009148E4">
        <w:rPr>
          <w:spacing w:val="29"/>
          <w:sz w:val="24"/>
          <w:szCs w:val="24"/>
        </w:rPr>
        <w:t xml:space="preserve"> </w:t>
      </w:r>
      <w:r w:rsidRPr="009148E4">
        <w:rPr>
          <w:sz w:val="24"/>
          <w:szCs w:val="24"/>
        </w:rPr>
        <w:t>contribute</w:t>
      </w:r>
      <w:r w:rsidRPr="009148E4">
        <w:rPr>
          <w:spacing w:val="28"/>
          <w:sz w:val="24"/>
          <w:szCs w:val="24"/>
        </w:rPr>
        <w:t xml:space="preserve"> </w:t>
      </w:r>
      <w:r w:rsidRPr="009148E4">
        <w:rPr>
          <w:sz w:val="24"/>
          <w:szCs w:val="24"/>
        </w:rPr>
        <w:t>to</w:t>
      </w:r>
      <w:r w:rsidRPr="009148E4">
        <w:rPr>
          <w:spacing w:val="29"/>
          <w:sz w:val="24"/>
          <w:szCs w:val="24"/>
        </w:rPr>
        <w:t xml:space="preserve"> </w:t>
      </w:r>
      <w:r w:rsidRPr="009148E4">
        <w:rPr>
          <w:sz w:val="24"/>
          <w:szCs w:val="24"/>
        </w:rPr>
        <w:t>infrastructure</w:t>
      </w:r>
      <w:r w:rsidRPr="009148E4">
        <w:rPr>
          <w:spacing w:val="30"/>
          <w:sz w:val="24"/>
          <w:szCs w:val="24"/>
        </w:rPr>
        <w:t xml:space="preserve"> </w:t>
      </w:r>
      <w:r w:rsidRPr="009148E4">
        <w:rPr>
          <w:sz w:val="24"/>
          <w:szCs w:val="24"/>
        </w:rPr>
        <w:t>costs</w:t>
      </w:r>
      <w:r w:rsidRPr="009148E4">
        <w:rPr>
          <w:spacing w:val="29"/>
          <w:sz w:val="24"/>
          <w:szCs w:val="24"/>
        </w:rPr>
        <w:t xml:space="preserve"> </w:t>
      </w:r>
      <w:r w:rsidRPr="009148E4">
        <w:rPr>
          <w:sz w:val="24"/>
          <w:szCs w:val="24"/>
        </w:rPr>
        <w:t>of</w:t>
      </w:r>
      <w:r w:rsidRPr="009148E4">
        <w:rPr>
          <w:spacing w:val="28"/>
          <w:sz w:val="24"/>
          <w:szCs w:val="24"/>
        </w:rPr>
        <w:t xml:space="preserve"> </w:t>
      </w:r>
      <w:r w:rsidRPr="009148E4">
        <w:rPr>
          <w:sz w:val="24"/>
          <w:szCs w:val="24"/>
        </w:rPr>
        <w:t>the one-stop</w:t>
      </w:r>
      <w:r w:rsidRPr="009148E4">
        <w:rPr>
          <w:spacing w:val="-1"/>
          <w:sz w:val="24"/>
          <w:szCs w:val="24"/>
        </w:rPr>
        <w:t xml:space="preserve"> </w:t>
      </w:r>
      <w:r w:rsidRPr="009148E4">
        <w:rPr>
          <w:sz w:val="24"/>
          <w:szCs w:val="24"/>
        </w:rPr>
        <w:t>centers</w:t>
      </w:r>
      <w:r w:rsidRPr="009148E4">
        <w:rPr>
          <w:spacing w:val="-1"/>
          <w:sz w:val="24"/>
          <w:szCs w:val="24"/>
        </w:rPr>
        <w:t xml:space="preserve"> </w:t>
      </w:r>
      <w:r w:rsidRPr="009148E4">
        <w:rPr>
          <w:sz w:val="24"/>
          <w:szCs w:val="24"/>
        </w:rPr>
        <w:t>based</w:t>
      </w:r>
      <w:r w:rsidRPr="009148E4">
        <w:rPr>
          <w:spacing w:val="-1"/>
          <w:sz w:val="24"/>
          <w:szCs w:val="24"/>
        </w:rPr>
        <w:t xml:space="preserve"> </w:t>
      </w:r>
      <w:r w:rsidRPr="009148E4">
        <w:rPr>
          <w:sz w:val="24"/>
          <w:szCs w:val="24"/>
        </w:rPr>
        <w:t>on</w:t>
      </w:r>
      <w:r w:rsidRPr="009148E4">
        <w:rPr>
          <w:spacing w:val="-1"/>
          <w:sz w:val="24"/>
          <w:szCs w:val="24"/>
        </w:rPr>
        <w:t xml:space="preserve"> </w:t>
      </w:r>
      <w:r w:rsidRPr="009148E4">
        <w:rPr>
          <w:sz w:val="24"/>
          <w:szCs w:val="24"/>
        </w:rPr>
        <w:t>proportionate</w:t>
      </w:r>
      <w:r w:rsidRPr="009148E4">
        <w:rPr>
          <w:spacing w:val="-2"/>
          <w:sz w:val="24"/>
          <w:szCs w:val="24"/>
        </w:rPr>
        <w:t xml:space="preserve"> </w:t>
      </w:r>
      <w:r w:rsidRPr="009148E4">
        <w:rPr>
          <w:sz w:val="24"/>
          <w:szCs w:val="24"/>
        </w:rPr>
        <w:t>use</w:t>
      </w:r>
      <w:r w:rsidRPr="009148E4">
        <w:rPr>
          <w:spacing w:val="-2"/>
          <w:sz w:val="24"/>
          <w:szCs w:val="24"/>
        </w:rPr>
        <w:t xml:space="preserve"> </w:t>
      </w:r>
      <w:r w:rsidRPr="009148E4">
        <w:rPr>
          <w:sz w:val="24"/>
          <w:szCs w:val="24"/>
        </w:rPr>
        <w:t>and relative</w:t>
      </w:r>
      <w:r w:rsidRPr="009148E4">
        <w:rPr>
          <w:spacing w:val="-2"/>
          <w:sz w:val="24"/>
          <w:szCs w:val="24"/>
        </w:rPr>
        <w:t xml:space="preserve"> </w:t>
      </w:r>
      <w:r w:rsidRPr="009148E4">
        <w:rPr>
          <w:sz w:val="24"/>
          <w:szCs w:val="24"/>
        </w:rPr>
        <w:t>benefits</w:t>
      </w:r>
      <w:r w:rsidRPr="009148E4">
        <w:rPr>
          <w:spacing w:val="-1"/>
          <w:sz w:val="24"/>
          <w:szCs w:val="24"/>
        </w:rPr>
        <w:t xml:space="preserve"> </w:t>
      </w:r>
      <w:r w:rsidRPr="009148E4">
        <w:rPr>
          <w:sz w:val="24"/>
          <w:szCs w:val="24"/>
        </w:rPr>
        <w:t>received. The</w:t>
      </w:r>
      <w:r w:rsidRPr="009148E4">
        <w:rPr>
          <w:spacing w:val="-2"/>
          <w:sz w:val="24"/>
          <w:szCs w:val="24"/>
        </w:rPr>
        <w:t xml:space="preserve"> </w:t>
      </w:r>
      <w:r w:rsidRPr="009148E4">
        <w:rPr>
          <w:sz w:val="24"/>
          <w:szCs w:val="24"/>
        </w:rPr>
        <w:t>required one-stop partners</w:t>
      </w:r>
      <w:r w:rsidRPr="009148E4">
        <w:rPr>
          <w:spacing w:val="23"/>
          <w:sz w:val="24"/>
          <w:szCs w:val="24"/>
        </w:rPr>
        <w:t xml:space="preserve"> </w:t>
      </w:r>
      <w:r w:rsidRPr="009148E4">
        <w:rPr>
          <w:sz w:val="24"/>
          <w:szCs w:val="24"/>
        </w:rPr>
        <w:t>must</w:t>
      </w:r>
      <w:r w:rsidRPr="009148E4">
        <w:rPr>
          <w:spacing w:val="23"/>
          <w:sz w:val="24"/>
          <w:szCs w:val="24"/>
        </w:rPr>
        <w:t xml:space="preserve"> </w:t>
      </w:r>
      <w:r w:rsidRPr="009148E4">
        <w:rPr>
          <w:sz w:val="24"/>
          <w:szCs w:val="24"/>
        </w:rPr>
        <w:t>provide access</w:t>
      </w:r>
      <w:r w:rsidRPr="009148E4">
        <w:rPr>
          <w:spacing w:val="23"/>
          <w:sz w:val="24"/>
          <w:szCs w:val="24"/>
        </w:rPr>
        <w:t xml:space="preserve"> </w:t>
      </w:r>
      <w:r w:rsidRPr="009148E4">
        <w:rPr>
          <w:sz w:val="24"/>
          <w:szCs w:val="24"/>
        </w:rPr>
        <w:t>to</w:t>
      </w:r>
      <w:r w:rsidRPr="009148E4">
        <w:rPr>
          <w:spacing w:val="23"/>
          <w:sz w:val="24"/>
          <w:szCs w:val="24"/>
        </w:rPr>
        <w:t xml:space="preserve"> </w:t>
      </w:r>
      <w:r w:rsidRPr="009148E4">
        <w:rPr>
          <w:sz w:val="24"/>
          <w:szCs w:val="24"/>
        </w:rPr>
        <w:t>their programs</w:t>
      </w:r>
      <w:r w:rsidRPr="009148E4">
        <w:rPr>
          <w:spacing w:val="23"/>
          <w:sz w:val="24"/>
          <w:szCs w:val="24"/>
        </w:rPr>
        <w:t xml:space="preserve"> </w:t>
      </w:r>
      <w:r w:rsidRPr="009148E4">
        <w:rPr>
          <w:sz w:val="24"/>
          <w:szCs w:val="24"/>
        </w:rPr>
        <w:t>in</w:t>
      </w:r>
      <w:r w:rsidRPr="009148E4">
        <w:rPr>
          <w:spacing w:val="23"/>
          <w:sz w:val="24"/>
          <w:szCs w:val="24"/>
        </w:rPr>
        <w:t xml:space="preserve"> </w:t>
      </w:r>
      <w:r w:rsidRPr="009148E4">
        <w:rPr>
          <w:sz w:val="24"/>
          <w:szCs w:val="24"/>
        </w:rPr>
        <w:t>the comprehensive centers</w:t>
      </w:r>
      <w:r w:rsidRPr="009148E4">
        <w:rPr>
          <w:spacing w:val="23"/>
          <w:sz w:val="24"/>
          <w:szCs w:val="24"/>
        </w:rPr>
        <w:t xml:space="preserve"> </w:t>
      </w:r>
      <w:r w:rsidRPr="009148E4">
        <w:rPr>
          <w:sz w:val="24"/>
          <w:szCs w:val="24"/>
        </w:rPr>
        <w:t>and</w:t>
      </w:r>
      <w:r w:rsidRPr="009148E4">
        <w:rPr>
          <w:spacing w:val="23"/>
          <w:sz w:val="24"/>
          <w:szCs w:val="24"/>
        </w:rPr>
        <w:t xml:space="preserve"> </w:t>
      </w:r>
      <w:r w:rsidRPr="009148E4">
        <w:rPr>
          <w:sz w:val="24"/>
          <w:szCs w:val="24"/>
        </w:rPr>
        <w:t>contribute to the</w:t>
      </w:r>
      <w:r w:rsidRPr="009148E4">
        <w:rPr>
          <w:spacing w:val="70"/>
          <w:sz w:val="24"/>
          <w:szCs w:val="24"/>
        </w:rPr>
        <w:t xml:space="preserve"> </w:t>
      </w:r>
      <w:r w:rsidRPr="009148E4">
        <w:rPr>
          <w:sz w:val="24"/>
          <w:szCs w:val="24"/>
        </w:rPr>
        <w:t>infrastructure</w:t>
      </w:r>
      <w:r w:rsidRPr="009148E4">
        <w:rPr>
          <w:spacing w:val="70"/>
          <w:sz w:val="24"/>
          <w:szCs w:val="24"/>
        </w:rPr>
        <w:t xml:space="preserve"> </w:t>
      </w:r>
      <w:r w:rsidRPr="009148E4">
        <w:rPr>
          <w:sz w:val="24"/>
          <w:szCs w:val="24"/>
        </w:rPr>
        <w:t>costs</w:t>
      </w:r>
      <w:r w:rsidRPr="009148E4">
        <w:rPr>
          <w:spacing w:val="74"/>
          <w:sz w:val="24"/>
          <w:szCs w:val="24"/>
        </w:rPr>
        <w:t xml:space="preserve"> </w:t>
      </w:r>
      <w:r w:rsidRPr="009148E4">
        <w:rPr>
          <w:sz w:val="24"/>
          <w:szCs w:val="24"/>
        </w:rPr>
        <w:t>of</w:t>
      </w:r>
      <w:r w:rsidRPr="009148E4">
        <w:rPr>
          <w:spacing w:val="70"/>
          <w:sz w:val="24"/>
          <w:szCs w:val="24"/>
        </w:rPr>
        <w:t xml:space="preserve"> </w:t>
      </w:r>
      <w:r w:rsidRPr="009148E4">
        <w:rPr>
          <w:sz w:val="24"/>
          <w:szCs w:val="24"/>
        </w:rPr>
        <w:t>those</w:t>
      </w:r>
      <w:r w:rsidRPr="009148E4">
        <w:rPr>
          <w:spacing w:val="70"/>
          <w:sz w:val="24"/>
          <w:szCs w:val="24"/>
        </w:rPr>
        <w:t xml:space="preserve"> </w:t>
      </w:r>
      <w:r w:rsidRPr="009148E4">
        <w:rPr>
          <w:sz w:val="24"/>
          <w:szCs w:val="24"/>
        </w:rPr>
        <w:t>centers.</w:t>
      </w:r>
      <w:r w:rsidRPr="009148E4">
        <w:rPr>
          <w:spacing w:val="71"/>
          <w:sz w:val="24"/>
          <w:szCs w:val="24"/>
        </w:rPr>
        <w:t xml:space="preserve"> </w:t>
      </w:r>
      <w:r w:rsidRPr="009148E4">
        <w:rPr>
          <w:sz w:val="24"/>
          <w:szCs w:val="24"/>
        </w:rPr>
        <w:t>These</w:t>
      </w:r>
      <w:r w:rsidRPr="009148E4">
        <w:rPr>
          <w:spacing w:val="70"/>
          <w:sz w:val="24"/>
          <w:szCs w:val="24"/>
        </w:rPr>
        <w:t xml:space="preserve"> </w:t>
      </w:r>
      <w:r w:rsidRPr="009148E4">
        <w:rPr>
          <w:sz w:val="24"/>
          <w:szCs w:val="24"/>
        </w:rPr>
        <w:t>partners</w:t>
      </w:r>
      <w:r w:rsidRPr="009148E4">
        <w:rPr>
          <w:spacing w:val="74"/>
          <w:sz w:val="24"/>
          <w:szCs w:val="24"/>
        </w:rPr>
        <w:t xml:space="preserve"> </w:t>
      </w:r>
      <w:r w:rsidRPr="009148E4">
        <w:rPr>
          <w:sz w:val="24"/>
          <w:szCs w:val="24"/>
        </w:rPr>
        <w:t>also</w:t>
      </w:r>
      <w:r w:rsidRPr="009148E4">
        <w:rPr>
          <w:spacing w:val="71"/>
          <w:sz w:val="24"/>
          <w:szCs w:val="24"/>
        </w:rPr>
        <w:t xml:space="preserve"> </w:t>
      </w:r>
      <w:r w:rsidRPr="009148E4">
        <w:rPr>
          <w:sz w:val="24"/>
          <w:szCs w:val="24"/>
        </w:rPr>
        <w:t>make</w:t>
      </w:r>
      <w:r w:rsidRPr="009148E4">
        <w:rPr>
          <w:spacing w:val="70"/>
          <w:sz w:val="24"/>
          <w:szCs w:val="24"/>
        </w:rPr>
        <w:t xml:space="preserve"> </w:t>
      </w:r>
      <w:r w:rsidRPr="009148E4">
        <w:rPr>
          <w:sz w:val="24"/>
          <w:szCs w:val="24"/>
        </w:rPr>
        <w:t>available</w:t>
      </w:r>
      <w:r w:rsidRPr="009148E4">
        <w:rPr>
          <w:spacing w:val="70"/>
          <w:sz w:val="24"/>
          <w:szCs w:val="24"/>
        </w:rPr>
        <w:t xml:space="preserve"> </w:t>
      </w:r>
      <w:r w:rsidRPr="009148E4">
        <w:rPr>
          <w:sz w:val="24"/>
          <w:szCs w:val="24"/>
        </w:rPr>
        <w:t>each</w:t>
      </w:r>
      <w:r w:rsidRPr="009148E4">
        <w:rPr>
          <w:spacing w:val="71"/>
          <w:sz w:val="24"/>
          <w:szCs w:val="24"/>
        </w:rPr>
        <w:t xml:space="preserve"> </w:t>
      </w:r>
      <w:r w:rsidRPr="009148E4">
        <w:rPr>
          <w:sz w:val="24"/>
          <w:szCs w:val="24"/>
        </w:rPr>
        <w:t>partner program’s applicable career services at the comprehensive one-stop centers and may contribute</w:t>
      </w:r>
      <w:r w:rsidRPr="009148E4">
        <w:rPr>
          <w:spacing w:val="40"/>
          <w:sz w:val="24"/>
          <w:szCs w:val="24"/>
        </w:rPr>
        <w:t xml:space="preserve"> </w:t>
      </w:r>
      <w:r w:rsidRPr="009148E4">
        <w:rPr>
          <w:sz w:val="24"/>
          <w:szCs w:val="24"/>
        </w:rPr>
        <w:t>to shared services and shared operating costs.</w:t>
      </w:r>
    </w:p>
    <w:p w14:paraId="365A963E" w14:textId="77777777" w:rsidR="00E41A5B" w:rsidRDefault="00E41A5B">
      <w:pPr>
        <w:pStyle w:val="BodyText"/>
        <w:jc w:val="left"/>
      </w:pPr>
    </w:p>
    <w:p w14:paraId="365A963F" w14:textId="77777777" w:rsidR="00E41A5B" w:rsidRDefault="00DA7B02">
      <w:pPr>
        <w:pStyle w:val="BodyText"/>
        <w:ind w:left="1299" w:right="1355"/>
      </w:pPr>
      <w:r>
        <w:t>Only</w:t>
      </w:r>
      <w:r>
        <w:rPr>
          <w:spacing w:val="-6"/>
        </w:rPr>
        <w:t xml:space="preserve"> </w:t>
      </w:r>
      <w:r>
        <w:t>those</w:t>
      </w:r>
      <w:r>
        <w:rPr>
          <w:spacing w:val="-2"/>
        </w:rPr>
        <w:t xml:space="preserve"> </w:t>
      </w:r>
      <w:r>
        <w:t>one-stop</w:t>
      </w:r>
      <w:r>
        <w:rPr>
          <w:spacing w:val="-1"/>
        </w:rPr>
        <w:t xml:space="preserve"> </w:t>
      </w:r>
      <w:r>
        <w:t>partners</w:t>
      </w:r>
      <w:r>
        <w:rPr>
          <w:spacing w:val="-1"/>
        </w:rPr>
        <w:t xml:space="preserve"> </w:t>
      </w:r>
      <w:r>
        <w:t>that participate</w:t>
      </w:r>
      <w:r>
        <w:rPr>
          <w:spacing w:val="-2"/>
        </w:rPr>
        <w:t xml:space="preserve"> </w:t>
      </w:r>
      <w:r>
        <w:t>in</w:t>
      </w:r>
      <w:r>
        <w:rPr>
          <w:spacing w:val="-1"/>
        </w:rPr>
        <w:t xml:space="preserve"> </w:t>
      </w:r>
      <w:r>
        <w:t>the</w:t>
      </w:r>
      <w:r>
        <w:rPr>
          <w:spacing w:val="-2"/>
        </w:rPr>
        <w:t xml:space="preserve"> </w:t>
      </w:r>
      <w:r>
        <w:t>affiliate</w:t>
      </w:r>
      <w:r>
        <w:rPr>
          <w:spacing w:val="-2"/>
        </w:rPr>
        <w:t xml:space="preserve"> </w:t>
      </w:r>
      <w:r>
        <w:t>one-stop centers</w:t>
      </w:r>
      <w:r>
        <w:rPr>
          <w:spacing w:val="-1"/>
        </w:rPr>
        <w:t xml:space="preserve"> </w:t>
      </w:r>
      <w:r>
        <w:t>would</w:t>
      </w:r>
      <w:r>
        <w:rPr>
          <w:spacing w:val="-1"/>
        </w:rPr>
        <w:t xml:space="preserve"> </w:t>
      </w:r>
      <w:r>
        <w:t>be required</w:t>
      </w:r>
      <w:r>
        <w:rPr>
          <w:spacing w:val="-1"/>
        </w:rPr>
        <w:t xml:space="preserve"> </w:t>
      </w:r>
      <w:r>
        <w:t xml:space="preserve">to contribute to the infrastructure costs for those centers, including in one-stop affiliate centers where “access” to programs, services, and activities are made available through a direct linkage or physical presence. When two or more grant recipients or contractors of a required partner program are carrying out the program in a local area, </w:t>
      </w:r>
      <w:proofErr w:type="gramStart"/>
      <w:r>
        <w:t>both of these</w:t>
      </w:r>
      <w:proofErr w:type="gramEnd"/>
      <w:r>
        <w:t xml:space="preserve"> entities must contribute to infrastructure costs, including at an affiliate center, if those partners are participating in that affiliate center. The fin</w:t>
      </w:r>
      <w:r>
        <w:t>ancial contributions of one-stop partners through a direct linkage will be different than those one-stop partners with a physical presence, regardless of the type of center.</w:t>
      </w:r>
      <w:r>
        <w:rPr>
          <w:spacing w:val="40"/>
        </w:rPr>
        <w:t xml:space="preserve"> </w:t>
      </w:r>
      <w:r>
        <w:t xml:space="preserve">A list of the partner programs may be found in Attachment III: Infrastructure Costs: Funding </w:t>
      </w:r>
      <w:r>
        <w:rPr>
          <w:spacing w:val="-2"/>
        </w:rPr>
        <w:t>Sources.</w:t>
      </w:r>
    </w:p>
    <w:p w14:paraId="365A9640" w14:textId="1DC940D2" w:rsidR="00E41A5B" w:rsidRDefault="00DA7B02">
      <w:pPr>
        <w:spacing w:before="252"/>
        <w:ind w:left="1300"/>
        <w:rPr>
          <w:sz w:val="24"/>
        </w:rPr>
      </w:pPr>
      <w:r>
        <w:rPr>
          <w:b/>
          <w:sz w:val="24"/>
        </w:rPr>
        <w:t>Required</w:t>
      </w:r>
      <w:r>
        <w:rPr>
          <w:b/>
          <w:spacing w:val="-2"/>
          <w:sz w:val="24"/>
        </w:rPr>
        <w:t xml:space="preserve"> </w:t>
      </w:r>
      <w:r>
        <w:rPr>
          <w:b/>
          <w:sz w:val="24"/>
        </w:rPr>
        <w:t>Partners.</w:t>
      </w:r>
      <w:r>
        <w:rPr>
          <w:b/>
          <w:spacing w:val="-1"/>
          <w:sz w:val="24"/>
        </w:rPr>
        <w:t xml:space="preserve"> </w:t>
      </w:r>
      <w:r>
        <w:rPr>
          <w:sz w:val="24"/>
        </w:rPr>
        <w:t>WIOA</w:t>
      </w:r>
      <w:r>
        <w:rPr>
          <w:spacing w:val="-2"/>
          <w:sz w:val="24"/>
        </w:rPr>
        <w:t xml:space="preserve"> </w:t>
      </w:r>
      <w:r w:rsidR="009148E4">
        <w:rPr>
          <w:sz w:val="24"/>
        </w:rPr>
        <w:t>S</w:t>
      </w:r>
      <w:r>
        <w:rPr>
          <w:sz w:val="24"/>
        </w:rPr>
        <w:t>ec.</w:t>
      </w:r>
      <w:r>
        <w:rPr>
          <w:spacing w:val="-2"/>
          <w:sz w:val="24"/>
        </w:rPr>
        <w:t xml:space="preserve"> </w:t>
      </w:r>
      <w:r>
        <w:rPr>
          <w:sz w:val="24"/>
        </w:rPr>
        <w:t>121(b)(1)(B),</w:t>
      </w:r>
      <w:r>
        <w:rPr>
          <w:spacing w:val="-1"/>
          <w:sz w:val="24"/>
        </w:rPr>
        <w:t xml:space="preserve"> </w:t>
      </w:r>
      <w:r>
        <w:rPr>
          <w:sz w:val="24"/>
        </w:rPr>
        <w:t>20</w:t>
      </w:r>
      <w:r>
        <w:rPr>
          <w:spacing w:val="1"/>
          <w:sz w:val="24"/>
        </w:rPr>
        <w:t xml:space="preserve"> </w:t>
      </w:r>
      <w:r>
        <w:rPr>
          <w:sz w:val="24"/>
        </w:rPr>
        <w:t>CFR</w:t>
      </w:r>
      <w:r>
        <w:rPr>
          <w:spacing w:val="-2"/>
          <w:sz w:val="24"/>
        </w:rPr>
        <w:t xml:space="preserve"> </w:t>
      </w:r>
      <w:r w:rsidR="009148E4">
        <w:t>§§</w:t>
      </w:r>
      <w:r w:rsidR="009148E4">
        <w:t xml:space="preserve"> </w:t>
      </w:r>
      <w:r>
        <w:rPr>
          <w:sz w:val="24"/>
        </w:rPr>
        <w:t>678.400,</w:t>
      </w:r>
      <w:r>
        <w:rPr>
          <w:spacing w:val="-1"/>
          <w:sz w:val="24"/>
        </w:rPr>
        <w:t xml:space="preserve"> </w:t>
      </w:r>
      <w:r>
        <w:rPr>
          <w:sz w:val="24"/>
        </w:rPr>
        <w:t>34</w:t>
      </w:r>
      <w:r>
        <w:rPr>
          <w:spacing w:val="-1"/>
          <w:sz w:val="24"/>
        </w:rPr>
        <w:t xml:space="preserve"> </w:t>
      </w:r>
      <w:r>
        <w:rPr>
          <w:sz w:val="24"/>
        </w:rPr>
        <w:t>CFR</w:t>
      </w:r>
      <w:r>
        <w:rPr>
          <w:spacing w:val="-2"/>
          <w:sz w:val="24"/>
        </w:rPr>
        <w:t xml:space="preserve"> </w:t>
      </w:r>
      <w:r>
        <w:rPr>
          <w:sz w:val="24"/>
        </w:rPr>
        <w:t>361.400,</w:t>
      </w:r>
      <w:r>
        <w:rPr>
          <w:spacing w:val="-1"/>
          <w:sz w:val="24"/>
        </w:rPr>
        <w:t xml:space="preserve"> </w:t>
      </w:r>
      <w:r>
        <w:rPr>
          <w:sz w:val="24"/>
        </w:rPr>
        <w:t>and</w:t>
      </w:r>
      <w:r>
        <w:rPr>
          <w:spacing w:val="-1"/>
          <w:sz w:val="24"/>
        </w:rPr>
        <w:t xml:space="preserve"> </w:t>
      </w:r>
      <w:r>
        <w:rPr>
          <w:sz w:val="24"/>
        </w:rPr>
        <w:t>34</w:t>
      </w:r>
      <w:r>
        <w:rPr>
          <w:spacing w:val="-1"/>
          <w:sz w:val="24"/>
        </w:rPr>
        <w:t xml:space="preserve"> </w:t>
      </w:r>
      <w:r>
        <w:rPr>
          <w:spacing w:val="-5"/>
          <w:sz w:val="24"/>
        </w:rPr>
        <w:t>CFR</w:t>
      </w:r>
    </w:p>
    <w:p w14:paraId="365A9641" w14:textId="77777777" w:rsidR="00E41A5B" w:rsidRDefault="00DA7B02">
      <w:pPr>
        <w:pStyle w:val="BodyText"/>
        <w:ind w:left="1300"/>
        <w:jc w:val="left"/>
      </w:pPr>
      <w:r>
        <w:t>463.400</w:t>
      </w:r>
      <w:r>
        <w:rPr>
          <w:spacing w:val="-3"/>
        </w:rPr>
        <w:t xml:space="preserve"> </w:t>
      </w:r>
      <w:r>
        <w:t>require</w:t>
      </w:r>
      <w:r>
        <w:rPr>
          <w:spacing w:val="-2"/>
        </w:rPr>
        <w:t xml:space="preserve"> </w:t>
      </w:r>
      <w:r>
        <w:t>the following</w:t>
      </w:r>
      <w:r>
        <w:rPr>
          <w:spacing w:val="-3"/>
        </w:rPr>
        <w:t xml:space="preserve"> </w:t>
      </w:r>
      <w:r>
        <w:t>programs</w:t>
      </w:r>
      <w:r>
        <w:rPr>
          <w:spacing w:val="-1"/>
        </w:rPr>
        <w:t xml:space="preserve"> </w:t>
      </w:r>
      <w:r>
        <w:t>to</w:t>
      </w:r>
      <w:r>
        <w:rPr>
          <w:spacing w:val="-1"/>
        </w:rPr>
        <w:t xml:space="preserve"> </w:t>
      </w:r>
      <w:r>
        <w:t>be</w:t>
      </w:r>
      <w:r>
        <w:rPr>
          <w:spacing w:val="-2"/>
        </w:rPr>
        <w:t xml:space="preserve"> </w:t>
      </w:r>
      <w:r>
        <w:t xml:space="preserve">one-stop </w:t>
      </w:r>
      <w:r>
        <w:rPr>
          <w:spacing w:val="-2"/>
        </w:rPr>
        <w:t>partners:</w:t>
      </w:r>
    </w:p>
    <w:p w14:paraId="365A9642" w14:textId="77777777" w:rsidR="00E41A5B" w:rsidRDefault="00DA7B02">
      <w:pPr>
        <w:ind w:left="1299"/>
        <w:rPr>
          <w:i/>
          <w:sz w:val="24"/>
        </w:rPr>
      </w:pPr>
      <w:r>
        <w:rPr>
          <w:i/>
          <w:sz w:val="24"/>
        </w:rPr>
        <w:t>Department</w:t>
      </w:r>
      <w:r>
        <w:rPr>
          <w:i/>
          <w:spacing w:val="-2"/>
          <w:sz w:val="24"/>
        </w:rPr>
        <w:t xml:space="preserve"> </w:t>
      </w:r>
      <w:r>
        <w:rPr>
          <w:i/>
          <w:sz w:val="24"/>
        </w:rPr>
        <w:t>of</w:t>
      </w:r>
      <w:r>
        <w:rPr>
          <w:i/>
          <w:spacing w:val="-1"/>
          <w:sz w:val="24"/>
        </w:rPr>
        <w:t xml:space="preserve"> </w:t>
      </w:r>
      <w:r>
        <w:rPr>
          <w:i/>
          <w:sz w:val="24"/>
        </w:rPr>
        <w:t>Labor</w:t>
      </w:r>
      <w:r>
        <w:rPr>
          <w:i/>
          <w:spacing w:val="-1"/>
          <w:sz w:val="24"/>
        </w:rPr>
        <w:t xml:space="preserve"> </w:t>
      </w:r>
      <w:r>
        <w:rPr>
          <w:i/>
          <w:spacing w:val="-2"/>
          <w:sz w:val="24"/>
        </w:rPr>
        <w:t>(DOL)</w:t>
      </w:r>
    </w:p>
    <w:p w14:paraId="365A9643" w14:textId="419B7BB3" w:rsidR="00E41A5B" w:rsidRDefault="00DA7B02">
      <w:pPr>
        <w:pStyle w:val="ListParagraph"/>
        <w:numPr>
          <w:ilvl w:val="0"/>
          <w:numId w:val="21"/>
        </w:numPr>
        <w:tabs>
          <w:tab w:val="left" w:pos="1863"/>
        </w:tabs>
        <w:ind w:left="1863" w:hanging="292"/>
        <w:rPr>
          <w:sz w:val="24"/>
        </w:rPr>
      </w:pPr>
      <w:r>
        <w:rPr>
          <w:sz w:val="24"/>
        </w:rPr>
        <w:t>WIOA</w:t>
      </w:r>
      <w:r>
        <w:rPr>
          <w:spacing w:val="-3"/>
          <w:sz w:val="24"/>
        </w:rPr>
        <w:t xml:space="preserve"> </w:t>
      </w:r>
      <w:r w:rsidR="009148E4">
        <w:rPr>
          <w:spacing w:val="-3"/>
          <w:sz w:val="24"/>
        </w:rPr>
        <w:t>T</w:t>
      </w:r>
      <w:r>
        <w:rPr>
          <w:sz w:val="24"/>
        </w:rPr>
        <w:t>itle I</w:t>
      </w:r>
      <w:r>
        <w:rPr>
          <w:spacing w:val="-5"/>
          <w:sz w:val="24"/>
        </w:rPr>
        <w:t xml:space="preserve"> </w:t>
      </w:r>
      <w:r>
        <w:rPr>
          <w:spacing w:val="-2"/>
          <w:sz w:val="24"/>
        </w:rPr>
        <w:t>programs:</w:t>
      </w:r>
    </w:p>
    <w:p w14:paraId="365A9644" w14:textId="77777777" w:rsidR="00E41A5B" w:rsidRDefault="00DA7B02">
      <w:pPr>
        <w:pStyle w:val="BodyText"/>
        <w:ind w:left="1839" w:right="4439"/>
        <w:jc w:val="left"/>
      </w:pPr>
      <w:r>
        <w:t>Adult,</w:t>
      </w:r>
      <w:r>
        <w:rPr>
          <w:spacing w:val="-6"/>
        </w:rPr>
        <w:t xml:space="preserve"> </w:t>
      </w:r>
      <w:r>
        <w:t>Dislocated</w:t>
      </w:r>
      <w:r>
        <w:rPr>
          <w:spacing w:val="-6"/>
        </w:rPr>
        <w:t xml:space="preserve"> </w:t>
      </w:r>
      <w:r>
        <w:t>Worker,</w:t>
      </w:r>
      <w:r>
        <w:rPr>
          <w:spacing w:val="-6"/>
        </w:rPr>
        <w:t xml:space="preserve"> </w:t>
      </w:r>
      <w:r>
        <w:t>and</w:t>
      </w:r>
      <w:r>
        <w:rPr>
          <w:spacing w:val="-6"/>
        </w:rPr>
        <w:t xml:space="preserve"> </w:t>
      </w:r>
      <w:r>
        <w:t>Youth</w:t>
      </w:r>
      <w:r>
        <w:rPr>
          <w:spacing w:val="-6"/>
        </w:rPr>
        <w:t xml:space="preserve"> </w:t>
      </w:r>
      <w:r>
        <w:t>formula</w:t>
      </w:r>
      <w:r>
        <w:rPr>
          <w:spacing w:val="-7"/>
        </w:rPr>
        <w:t xml:space="preserve"> </w:t>
      </w:r>
      <w:r>
        <w:t>programs; Job Corps;</w:t>
      </w:r>
    </w:p>
    <w:p w14:paraId="365A9645" w14:textId="77777777" w:rsidR="00E41A5B" w:rsidRDefault="00DA7B02">
      <w:pPr>
        <w:pStyle w:val="BodyText"/>
        <w:ind w:left="1839"/>
        <w:jc w:val="left"/>
      </w:pPr>
      <w:r>
        <w:rPr>
          <w:spacing w:val="-2"/>
        </w:rPr>
        <w:t>YouthBuild;</w:t>
      </w:r>
    </w:p>
    <w:p w14:paraId="365A9646" w14:textId="77777777" w:rsidR="00E41A5B" w:rsidRDefault="00DA7B02">
      <w:pPr>
        <w:pStyle w:val="BodyText"/>
        <w:ind w:left="1839"/>
        <w:jc w:val="left"/>
      </w:pPr>
      <w:r>
        <w:t>Native</w:t>
      </w:r>
      <w:r>
        <w:rPr>
          <w:spacing w:val="-4"/>
        </w:rPr>
        <w:t xml:space="preserve"> </w:t>
      </w:r>
      <w:r>
        <w:t>American</w:t>
      </w:r>
      <w:r>
        <w:rPr>
          <w:spacing w:val="-2"/>
        </w:rPr>
        <w:t xml:space="preserve"> programs;</w:t>
      </w:r>
    </w:p>
    <w:p w14:paraId="365A9647" w14:textId="77777777" w:rsidR="00E41A5B" w:rsidRDefault="00DA7B02">
      <w:pPr>
        <w:pStyle w:val="BodyText"/>
        <w:ind w:left="1839"/>
        <w:jc w:val="left"/>
      </w:pPr>
      <w:r>
        <w:t>National</w:t>
      </w:r>
      <w:r>
        <w:rPr>
          <w:spacing w:val="-2"/>
        </w:rPr>
        <w:t xml:space="preserve"> </w:t>
      </w:r>
      <w:r>
        <w:t>Farmworker</w:t>
      </w:r>
      <w:r>
        <w:rPr>
          <w:spacing w:val="-3"/>
        </w:rPr>
        <w:t xml:space="preserve"> </w:t>
      </w:r>
      <w:r>
        <w:t>Jobs</w:t>
      </w:r>
      <w:r>
        <w:rPr>
          <w:spacing w:val="-2"/>
        </w:rPr>
        <w:t xml:space="preserve"> </w:t>
      </w:r>
      <w:r>
        <w:t>Program</w:t>
      </w:r>
      <w:r>
        <w:rPr>
          <w:spacing w:val="-2"/>
        </w:rPr>
        <w:t xml:space="preserve"> (NFJP);</w:t>
      </w:r>
    </w:p>
    <w:p w14:paraId="365A9648" w14:textId="6F55560F" w:rsidR="00E41A5B" w:rsidRDefault="00DA7B02">
      <w:pPr>
        <w:pStyle w:val="ListParagraph"/>
        <w:numPr>
          <w:ilvl w:val="0"/>
          <w:numId w:val="21"/>
        </w:numPr>
        <w:tabs>
          <w:tab w:val="left" w:pos="1794"/>
          <w:tab w:val="left" w:pos="1840"/>
        </w:tabs>
        <w:ind w:left="1840" w:right="1352" w:hanging="300"/>
        <w:rPr>
          <w:sz w:val="24"/>
        </w:rPr>
      </w:pPr>
      <w:r>
        <w:rPr>
          <w:spacing w:val="-2"/>
          <w:sz w:val="24"/>
        </w:rPr>
        <w:t>Wagner-Peyser</w:t>
      </w:r>
      <w:r>
        <w:rPr>
          <w:spacing w:val="-9"/>
          <w:sz w:val="24"/>
        </w:rPr>
        <w:t xml:space="preserve"> </w:t>
      </w:r>
      <w:r>
        <w:rPr>
          <w:spacing w:val="-2"/>
          <w:sz w:val="24"/>
        </w:rPr>
        <w:t>Act</w:t>
      </w:r>
      <w:r>
        <w:rPr>
          <w:spacing w:val="-11"/>
          <w:sz w:val="24"/>
        </w:rPr>
        <w:t xml:space="preserve"> </w:t>
      </w:r>
      <w:r>
        <w:rPr>
          <w:spacing w:val="-2"/>
          <w:sz w:val="24"/>
        </w:rPr>
        <w:t>Employment</w:t>
      </w:r>
      <w:r>
        <w:rPr>
          <w:spacing w:val="-11"/>
          <w:sz w:val="24"/>
        </w:rPr>
        <w:t xml:space="preserve"> </w:t>
      </w:r>
      <w:r>
        <w:rPr>
          <w:spacing w:val="-2"/>
          <w:sz w:val="24"/>
        </w:rPr>
        <w:t>Service</w:t>
      </w:r>
      <w:r>
        <w:rPr>
          <w:spacing w:val="-10"/>
          <w:sz w:val="24"/>
        </w:rPr>
        <w:t xml:space="preserve"> </w:t>
      </w:r>
      <w:r>
        <w:rPr>
          <w:spacing w:val="-2"/>
          <w:sz w:val="24"/>
        </w:rPr>
        <w:t>(ES)</w:t>
      </w:r>
      <w:r>
        <w:rPr>
          <w:spacing w:val="-9"/>
          <w:sz w:val="24"/>
        </w:rPr>
        <w:t xml:space="preserve"> </w:t>
      </w:r>
      <w:r>
        <w:rPr>
          <w:spacing w:val="-2"/>
          <w:sz w:val="24"/>
        </w:rPr>
        <w:t>program,</w:t>
      </w:r>
      <w:r>
        <w:rPr>
          <w:spacing w:val="-11"/>
          <w:sz w:val="24"/>
        </w:rPr>
        <w:t xml:space="preserve"> </w:t>
      </w:r>
      <w:r>
        <w:rPr>
          <w:spacing w:val="-2"/>
          <w:sz w:val="24"/>
        </w:rPr>
        <w:t>authorized</w:t>
      </w:r>
      <w:r>
        <w:rPr>
          <w:spacing w:val="-11"/>
          <w:sz w:val="24"/>
        </w:rPr>
        <w:t xml:space="preserve"> </w:t>
      </w:r>
      <w:r>
        <w:rPr>
          <w:spacing w:val="-2"/>
          <w:sz w:val="24"/>
        </w:rPr>
        <w:t>under</w:t>
      </w:r>
      <w:r>
        <w:rPr>
          <w:spacing w:val="-9"/>
          <w:sz w:val="24"/>
        </w:rPr>
        <w:t xml:space="preserve"> </w:t>
      </w:r>
      <w:r>
        <w:rPr>
          <w:spacing w:val="-2"/>
          <w:sz w:val="24"/>
        </w:rPr>
        <w:t>the</w:t>
      </w:r>
      <w:r>
        <w:rPr>
          <w:spacing w:val="-11"/>
          <w:sz w:val="24"/>
        </w:rPr>
        <w:t xml:space="preserve"> </w:t>
      </w:r>
      <w:r>
        <w:rPr>
          <w:spacing w:val="-2"/>
          <w:sz w:val="24"/>
        </w:rPr>
        <w:t>Wagner-</w:t>
      </w:r>
      <w:r>
        <w:rPr>
          <w:spacing w:val="44"/>
          <w:sz w:val="24"/>
        </w:rPr>
        <w:t xml:space="preserve"> </w:t>
      </w:r>
      <w:r>
        <w:rPr>
          <w:spacing w:val="-2"/>
          <w:sz w:val="24"/>
        </w:rPr>
        <w:t>Peyser Act</w:t>
      </w:r>
      <w:r>
        <w:rPr>
          <w:spacing w:val="-10"/>
          <w:sz w:val="24"/>
        </w:rPr>
        <w:t xml:space="preserve"> </w:t>
      </w:r>
      <w:r>
        <w:rPr>
          <w:spacing w:val="-2"/>
          <w:sz w:val="24"/>
        </w:rPr>
        <w:t>(29</w:t>
      </w:r>
      <w:r>
        <w:rPr>
          <w:spacing w:val="-10"/>
          <w:sz w:val="24"/>
        </w:rPr>
        <w:t xml:space="preserve"> </w:t>
      </w:r>
      <w:r>
        <w:rPr>
          <w:spacing w:val="-2"/>
          <w:sz w:val="24"/>
        </w:rPr>
        <w:t>U.S.C.</w:t>
      </w:r>
      <w:r>
        <w:rPr>
          <w:spacing w:val="-10"/>
          <w:sz w:val="24"/>
        </w:rPr>
        <w:t xml:space="preserve"> </w:t>
      </w:r>
      <w:r>
        <w:rPr>
          <w:spacing w:val="-2"/>
          <w:sz w:val="24"/>
        </w:rPr>
        <w:t>49</w:t>
      </w:r>
      <w:r>
        <w:rPr>
          <w:spacing w:val="-10"/>
          <w:sz w:val="24"/>
        </w:rPr>
        <w:t xml:space="preserve"> </w:t>
      </w:r>
      <w:r>
        <w:rPr>
          <w:spacing w:val="-2"/>
          <w:sz w:val="24"/>
        </w:rPr>
        <w:t>et</w:t>
      </w:r>
      <w:r>
        <w:rPr>
          <w:spacing w:val="-10"/>
          <w:sz w:val="24"/>
        </w:rPr>
        <w:t xml:space="preserve"> </w:t>
      </w:r>
      <w:r>
        <w:rPr>
          <w:spacing w:val="-2"/>
          <w:sz w:val="24"/>
        </w:rPr>
        <w:t>seq.),</w:t>
      </w:r>
      <w:r>
        <w:rPr>
          <w:spacing w:val="-10"/>
          <w:sz w:val="24"/>
        </w:rPr>
        <w:t xml:space="preserve"> </w:t>
      </w:r>
      <w:r>
        <w:rPr>
          <w:spacing w:val="-2"/>
          <w:sz w:val="24"/>
        </w:rPr>
        <w:t>as</w:t>
      </w:r>
      <w:r>
        <w:rPr>
          <w:spacing w:val="-8"/>
          <w:sz w:val="24"/>
        </w:rPr>
        <w:t xml:space="preserve"> </w:t>
      </w:r>
      <w:r>
        <w:rPr>
          <w:spacing w:val="-2"/>
          <w:sz w:val="24"/>
        </w:rPr>
        <w:t>amended</w:t>
      </w:r>
      <w:r>
        <w:rPr>
          <w:spacing w:val="-10"/>
          <w:sz w:val="24"/>
        </w:rPr>
        <w:t xml:space="preserve"> </w:t>
      </w:r>
      <w:r>
        <w:rPr>
          <w:spacing w:val="-2"/>
          <w:sz w:val="24"/>
        </w:rPr>
        <w:t>by</w:t>
      </w:r>
      <w:r>
        <w:rPr>
          <w:spacing w:val="-15"/>
          <w:sz w:val="24"/>
        </w:rPr>
        <w:t xml:space="preserve"> </w:t>
      </w:r>
      <w:r>
        <w:rPr>
          <w:spacing w:val="-2"/>
          <w:sz w:val="24"/>
        </w:rPr>
        <w:t>WIOA</w:t>
      </w:r>
      <w:r>
        <w:rPr>
          <w:spacing w:val="-11"/>
          <w:sz w:val="24"/>
        </w:rPr>
        <w:t xml:space="preserve"> </w:t>
      </w:r>
      <w:r w:rsidR="009148E4">
        <w:rPr>
          <w:spacing w:val="-2"/>
          <w:sz w:val="24"/>
        </w:rPr>
        <w:t>T</w:t>
      </w:r>
      <w:r>
        <w:rPr>
          <w:spacing w:val="-2"/>
          <w:sz w:val="24"/>
        </w:rPr>
        <w:t>itle</w:t>
      </w:r>
      <w:r>
        <w:rPr>
          <w:spacing w:val="-9"/>
          <w:sz w:val="24"/>
        </w:rPr>
        <w:t xml:space="preserve"> </w:t>
      </w:r>
      <w:r>
        <w:rPr>
          <w:spacing w:val="-2"/>
          <w:sz w:val="24"/>
        </w:rPr>
        <w:t>III;</w:t>
      </w:r>
    </w:p>
    <w:p w14:paraId="365A9649" w14:textId="71764A60" w:rsidR="00E41A5B" w:rsidRDefault="00DA7B02">
      <w:pPr>
        <w:pStyle w:val="ListParagraph"/>
        <w:numPr>
          <w:ilvl w:val="0"/>
          <w:numId w:val="21"/>
        </w:numPr>
        <w:tabs>
          <w:tab w:val="left" w:pos="1840"/>
          <w:tab w:val="left" w:pos="1855"/>
        </w:tabs>
        <w:ind w:left="1840" w:right="1360" w:hanging="269"/>
        <w:rPr>
          <w:sz w:val="24"/>
        </w:rPr>
      </w:pPr>
      <w:r>
        <w:rPr>
          <w:sz w:val="24"/>
        </w:rPr>
        <w:t>Senior Community</w:t>
      </w:r>
      <w:r>
        <w:rPr>
          <w:spacing w:val="-5"/>
          <w:sz w:val="24"/>
        </w:rPr>
        <w:t xml:space="preserve"> </w:t>
      </w:r>
      <w:r>
        <w:rPr>
          <w:sz w:val="24"/>
        </w:rPr>
        <w:t xml:space="preserve">Service Employment Program (SCSEP), authorized under </w:t>
      </w:r>
      <w:r w:rsidR="009148E4">
        <w:rPr>
          <w:sz w:val="24"/>
        </w:rPr>
        <w:t>T</w:t>
      </w:r>
      <w:r>
        <w:rPr>
          <w:sz w:val="24"/>
        </w:rPr>
        <w:t>itle V of the Older Americans Act of 1965;</w:t>
      </w:r>
    </w:p>
    <w:p w14:paraId="365A964A" w14:textId="43946EF0" w:rsidR="00E41A5B" w:rsidRDefault="00DA7B02">
      <w:pPr>
        <w:pStyle w:val="ListParagraph"/>
        <w:numPr>
          <w:ilvl w:val="0"/>
          <w:numId w:val="21"/>
        </w:numPr>
        <w:tabs>
          <w:tab w:val="left" w:pos="1840"/>
          <w:tab w:val="left" w:pos="1872"/>
        </w:tabs>
        <w:ind w:left="1840" w:right="1358" w:hanging="269"/>
        <w:rPr>
          <w:sz w:val="24"/>
        </w:rPr>
      </w:pPr>
      <w:r>
        <w:rPr>
          <w:sz w:val="24"/>
        </w:rPr>
        <w:t>Trade</w:t>
      </w:r>
      <w:r>
        <w:rPr>
          <w:spacing w:val="35"/>
          <w:sz w:val="24"/>
        </w:rPr>
        <w:t xml:space="preserve"> </w:t>
      </w:r>
      <w:r>
        <w:rPr>
          <w:sz w:val="24"/>
        </w:rPr>
        <w:t xml:space="preserve">Adjustment Assistance (TAA) activities, authorized under chapter 2 of </w:t>
      </w:r>
      <w:r w:rsidR="009148E4">
        <w:rPr>
          <w:sz w:val="24"/>
        </w:rPr>
        <w:t>T</w:t>
      </w:r>
      <w:r>
        <w:rPr>
          <w:sz w:val="24"/>
        </w:rPr>
        <w:t>itle II of the Trade Act of 1974;</w:t>
      </w:r>
    </w:p>
    <w:p w14:paraId="365A964B" w14:textId="77777777" w:rsidR="00E41A5B" w:rsidRDefault="00DA7B02">
      <w:pPr>
        <w:pStyle w:val="ListParagraph"/>
        <w:numPr>
          <w:ilvl w:val="0"/>
          <w:numId w:val="21"/>
        </w:numPr>
        <w:tabs>
          <w:tab w:val="left" w:pos="1836"/>
        </w:tabs>
        <w:ind w:left="1836" w:hanging="265"/>
        <w:rPr>
          <w:sz w:val="24"/>
        </w:rPr>
      </w:pPr>
      <w:r>
        <w:rPr>
          <w:sz w:val="24"/>
        </w:rPr>
        <w:t>Unemployment</w:t>
      </w:r>
      <w:r>
        <w:rPr>
          <w:spacing w:val="-3"/>
          <w:sz w:val="24"/>
        </w:rPr>
        <w:t xml:space="preserve"> </w:t>
      </w:r>
      <w:r>
        <w:rPr>
          <w:sz w:val="24"/>
        </w:rPr>
        <w:t>Compensation</w:t>
      </w:r>
      <w:r>
        <w:rPr>
          <w:spacing w:val="-3"/>
          <w:sz w:val="24"/>
        </w:rPr>
        <w:t xml:space="preserve"> </w:t>
      </w:r>
      <w:r>
        <w:rPr>
          <w:sz w:val="24"/>
        </w:rPr>
        <w:t>(UC)</w:t>
      </w:r>
      <w:r>
        <w:rPr>
          <w:spacing w:val="-3"/>
          <w:sz w:val="24"/>
        </w:rPr>
        <w:t xml:space="preserve"> </w:t>
      </w:r>
      <w:r>
        <w:rPr>
          <w:spacing w:val="-2"/>
          <w:sz w:val="24"/>
        </w:rPr>
        <w:t>programs;</w:t>
      </w:r>
    </w:p>
    <w:p w14:paraId="365A964C" w14:textId="0A170055" w:rsidR="00E41A5B" w:rsidRDefault="00DA7B02">
      <w:pPr>
        <w:pStyle w:val="ListParagraph"/>
        <w:numPr>
          <w:ilvl w:val="0"/>
          <w:numId w:val="21"/>
        </w:numPr>
        <w:tabs>
          <w:tab w:val="left" w:pos="1840"/>
          <w:tab w:val="left" w:pos="1850"/>
        </w:tabs>
        <w:spacing w:before="1"/>
        <w:ind w:left="1840" w:right="1356" w:hanging="269"/>
        <w:rPr>
          <w:sz w:val="24"/>
        </w:rPr>
      </w:pPr>
      <w:r>
        <w:rPr>
          <w:sz w:val="24"/>
        </w:rPr>
        <w:t xml:space="preserve">Jobs for Veterans State Grants (JVSG) programs, authorized under chapter 41of </w:t>
      </w:r>
      <w:r w:rsidR="009148E4">
        <w:rPr>
          <w:sz w:val="24"/>
        </w:rPr>
        <w:t>T</w:t>
      </w:r>
      <w:r>
        <w:rPr>
          <w:sz w:val="24"/>
        </w:rPr>
        <w:t>itle 38, U.S.C.; and</w:t>
      </w:r>
    </w:p>
    <w:p w14:paraId="365A964D" w14:textId="24F4C4EA" w:rsidR="00E41A5B" w:rsidRDefault="00DA7B02">
      <w:pPr>
        <w:pStyle w:val="ListParagraph"/>
        <w:numPr>
          <w:ilvl w:val="0"/>
          <w:numId w:val="21"/>
        </w:numPr>
        <w:tabs>
          <w:tab w:val="left" w:pos="1840"/>
          <w:tab w:val="left" w:pos="1875"/>
        </w:tabs>
        <w:ind w:left="1840" w:right="1357" w:hanging="269"/>
        <w:rPr>
          <w:sz w:val="24"/>
        </w:rPr>
      </w:pPr>
      <w:r>
        <w:rPr>
          <w:sz w:val="24"/>
        </w:rPr>
        <w:t>Reentry</w:t>
      </w:r>
      <w:r>
        <w:rPr>
          <w:spacing w:val="35"/>
          <w:sz w:val="24"/>
        </w:rPr>
        <w:t xml:space="preserve"> </w:t>
      </w:r>
      <w:r>
        <w:rPr>
          <w:sz w:val="24"/>
        </w:rPr>
        <w:t>Employment Opportunities (REO) programs (formerly known as Reintegration of Ex-Offenders Program (</w:t>
      </w:r>
      <w:proofErr w:type="spellStart"/>
      <w:r>
        <w:rPr>
          <w:sz w:val="24"/>
        </w:rPr>
        <w:t>RExO</w:t>
      </w:r>
      <w:proofErr w:type="spellEnd"/>
      <w:r>
        <w:rPr>
          <w:sz w:val="24"/>
        </w:rPr>
        <w:t xml:space="preserve">)), authorized under sec. 212 of the Second Chance Act of </w:t>
      </w:r>
      <w:r>
        <w:rPr>
          <w:sz w:val="24"/>
        </w:rPr>
        <w:lastRenderedPageBreak/>
        <w:t xml:space="preserve">2007 (42 U.S.C. 17532) and WIOA </w:t>
      </w:r>
      <w:r w:rsidR="009148E4">
        <w:rPr>
          <w:sz w:val="24"/>
        </w:rPr>
        <w:t>S</w:t>
      </w:r>
      <w:r>
        <w:rPr>
          <w:sz w:val="24"/>
        </w:rPr>
        <w:t>ec. 169;</w:t>
      </w:r>
    </w:p>
    <w:p w14:paraId="1FFCA3F4" w14:textId="77777777" w:rsidR="009148E4" w:rsidRDefault="009148E4">
      <w:pPr>
        <w:spacing w:before="72"/>
        <w:ind w:left="1300"/>
        <w:rPr>
          <w:i/>
          <w:sz w:val="24"/>
        </w:rPr>
      </w:pPr>
    </w:p>
    <w:p w14:paraId="365A964F" w14:textId="3A2A969E" w:rsidR="00E41A5B" w:rsidRDefault="009148E4">
      <w:pPr>
        <w:spacing w:before="72"/>
        <w:ind w:left="1300"/>
        <w:rPr>
          <w:i/>
          <w:sz w:val="24"/>
        </w:rPr>
      </w:pPr>
      <w:r>
        <w:rPr>
          <w:i/>
          <w:sz w:val="24"/>
        </w:rPr>
        <w:t>D</w:t>
      </w:r>
      <w:r w:rsidR="00DA7B02">
        <w:rPr>
          <w:i/>
          <w:sz w:val="24"/>
        </w:rPr>
        <w:t>epartment</w:t>
      </w:r>
      <w:r w:rsidR="00DA7B02">
        <w:rPr>
          <w:i/>
          <w:spacing w:val="-2"/>
          <w:sz w:val="24"/>
        </w:rPr>
        <w:t xml:space="preserve"> </w:t>
      </w:r>
      <w:r w:rsidR="00DA7B02">
        <w:rPr>
          <w:i/>
          <w:sz w:val="24"/>
        </w:rPr>
        <w:t>of</w:t>
      </w:r>
      <w:r w:rsidR="00DA7B02">
        <w:rPr>
          <w:i/>
          <w:spacing w:val="-2"/>
          <w:sz w:val="24"/>
        </w:rPr>
        <w:t xml:space="preserve"> </w:t>
      </w:r>
      <w:r w:rsidR="00DA7B02">
        <w:rPr>
          <w:i/>
          <w:sz w:val="24"/>
        </w:rPr>
        <w:t xml:space="preserve">Education </w:t>
      </w:r>
      <w:r w:rsidR="00DA7B02">
        <w:rPr>
          <w:i/>
          <w:spacing w:val="-4"/>
          <w:sz w:val="24"/>
        </w:rPr>
        <w:t>(ED)</w:t>
      </w:r>
    </w:p>
    <w:p w14:paraId="365A9650" w14:textId="66682B4D" w:rsidR="00E41A5B" w:rsidRDefault="00DA7B02">
      <w:pPr>
        <w:pStyle w:val="ListParagraph"/>
        <w:numPr>
          <w:ilvl w:val="0"/>
          <w:numId w:val="21"/>
        </w:numPr>
        <w:tabs>
          <w:tab w:val="left" w:pos="1863"/>
        </w:tabs>
        <w:ind w:left="1863" w:hanging="292"/>
        <w:rPr>
          <w:sz w:val="24"/>
        </w:rPr>
      </w:pPr>
      <w:r>
        <w:rPr>
          <w:spacing w:val="-4"/>
          <w:sz w:val="24"/>
        </w:rPr>
        <w:t>Adult</w:t>
      </w:r>
      <w:r>
        <w:rPr>
          <w:spacing w:val="-9"/>
          <w:sz w:val="24"/>
        </w:rPr>
        <w:t xml:space="preserve"> </w:t>
      </w:r>
      <w:r>
        <w:rPr>
          <w:spacing w:val="-4"/>
          <w:sz w:val="24"/>
        </w:rPr>
        <w:t>Education</w:t>
      </w:r>
      <w:r>
        <w:rPr>
          <w:spacing w:val="-3"/>
          <w:sz w:val="24"/>
        </w:rPr>
        <w:t xml:space="preserve"> </w:t>
      </w:r>
      <w:r>
        <w:rPr>
          <w:spacing w:val="-4"/>
          <w:sz w:val="24"/>
        </w:rPr>
        <w:t>and Family</w:t>
      </w:r>
      <w:r>
        <w:rPr>
          <w:spacing w:val="-8"/>
          <w:sz w:val="24"/>
        </w:rPr>
        <w:t xml:space="preserve"> </w:t>
      </w:r>
      <w:r>
        <w:rPr>
          <w:spacing w:val="-4"/>
          <w:sz w:val="24"/>
        </w:rPr>
        <w:t>Literacy</w:t>
      </w:r>
      <w:r>
        <w:rPr>
          <w:spacing w:val="-11"/>
          <w:sz w:val="24"/>
        </w:rPr>
        <w:t xml:space="preserve"> </w:t>
      </w:r>
      <w:r>
        <w:rPr>
          <w:spacing w:val="-4"/>
          <w:sz w:val="24"/>
        </w:rPr>
        <w:t>Act</w:t>
      </w:r>
      <w:r>
        <w:rPr>
          <w:spacing w:val="-5"/>
          <w:sz w:val="24"/>
        </w:rPr>
        <w:t xml:space="preserve"> </w:t>
      </w:r>
      <w:r>
        <w:rPr>
          <w:spacing w:val="-4"/>
          <w:sz w:val="24"/>
        </w:rPr>
        <w:t>(AEFLA)</w:t>
      </w:r>
      <w:r>
        <w:rPr>
          <w:spacing w:val="-6"/>
          <w:sz w:val="24"/>
        </w:rPr>
        <w:t xml:space="preserve"> </w:t>
      </w:r>
      <w:r>
        <w:rPr>
          <w:spacing w:val="-4"/>
          <w:sz w:val="24"/>
        </w:rPr>
        <w:t>program,</w:t>
      </w:r>
      <w:r>
        <w:rPr>
          <w:spacing w:val="-7"/>
          <w:sz w:val="24"/>
        </w:rPr>
        <w:t xml:space="preserve"> </w:t>
      </w:r>
      <w:r>
        <w:rPr>
          <w:spacing w:val="-4"/>
          <w:sz w:val="24"/>
        </w:rPr>
        <w:t>authorized</w:t>
      </w:r>
      <w:r>
        <w:rPr>
          <w:spacing w:val="-6"/>
          <w:sz w:val="24"/>
        </w:rPr>
        <w:t xml:space="preserve"> </w:t>
      </w:r>
      <w:r>
        <w:rPr>
          <w:spacing w:val="-4"/>
          <w:sz w:val="24"/>
        </w:rPr>
        <w:t>under</w:t>
      </w:r>
      <w:r>
        <w:rPr>
          <w:spacing w:val="-7"/>
          <w:sz w:val="24"/>
        </w:rPr>
        <w:t xml:space="preserve"> </w:t>
      </w:r>
      <w:r>
        <w:rPr>
          <w:spacing w:val="-4"/>
          <w:sz w:val="24"/>
        </w:rPr>
        <w:t>WIOA</w:t>
      </w:r>
      <w:r>
        <w:rPr>
          <w:spacing w:val="-6"/>
          <w:sz w:val="24"/>
        </w:rPr>
        <w:t xml:space="preserve"> </w:t>
      </w:r>
      <w:r w:rsidR="009148E4">
        <w:rPr>
          <w:spacing w:val="-4"/>
          <w:sz w:val="24"/>
        </w:rPr>
        <w:t>T</w:t>
      </w:r>
      <w:r>
        <w:rPr>
          <w:spacing w:val="-4"/>
          <w:sz w:val="24"/>
        </w:rPr>
        <w:t xml:space="preserve">itle </w:t>
      </w:r>
      <w:r>
        <w:rPr>
          <w:spacing w:val="-5"/>
          <w:sz w:val="24"/>
        </w:rPr>
        <w:t>II;</w:t>
      </w:r>
    </w:p>
    <w:p w14:paraId="365A9651" w14:textId="77777777" w:rsidR="00E41A5B" w:rsidRDefault="00DA7B02">
      <w:pPr>
        <w:pStyle w:val="ListParagraph"/>
        <w:numPr>
          <w:ilvl w:val="0"/>
          <w:numId w:val="21"/>
        </w:numPr>
        <w:tabs>
          <w:tab w:val="left" w:pos="1791"/>
          <w:tab w:val="left" w:pos="1839"/>
        </w:tabs>
        <w:ind w:left="1839" w:right="1358" w:hanging="269"/>
        <w:rPr>
          <w:sz w:val="24"/>
        </w:rPr>
      </w:pPr>
      <w:r>
        <w:rPr>
          <w:sz w:val="24"/>
        </w:rPr>
        <w:t>Career and technical education programs at the postsecondary level, authorized under the</w:t>
      </w:r>
      <w:r>
        <w:rPr>
          <w:spacing w:val="80"/>
          <w:sz w:val="24"/>
        </w:rPr>
        <w:t xml:space="preserve"> </w:t>
      </w:r>
      <w:r>
        <w:rPr>
          <w:sz w:val="24"/>
        </w:rPr>
        <w:t>Carl D. Perkins Career and Technical Education Act of 2006 (Perkins IV); and</w:t>
      </w:r>
    </w:p>
    <w:p w14:paraId="365A9652" w14:textId="2F56E6F0" w:rsidR="00E41A5B" w:rsidRDefault="00DA7B02">
      <w:pPr>
        <w:pStyle w:val="ListParagraph"/>
        <w:numPr>
          <w:ilvl w:val="0"/>
          <w:numId w:val="21"/>
        </w:numPr>
        <w:tabs>
          <w:tab w:val="left" w:pos="1801"/>
          <w:tab w:val="left" w:pos="1839"/>
        </w:tabs>
        <w:ind w:left="1839" w:right="1355" w:hanging="269"/>
        <w:rPr>
          <w:sz w:val="24"/>
        </w:rPr>
      </w:pPr>
      <w:r>
        <w:rPr>
          <w:sz w:val="24"/>
        </w:rPr>
        <w:t xml:space="preserve">The State Vocational Rehabilitation (VR) Services program, authorized under </w:t>
      </w:r>
      <w:r w:rsidR="009148E4">
        <w:rPr>
          <w:sz w:val="24"/>
        </w:rPr>
        <w:t>T</w:t>
      </w:r>
      <w:r>
        <w:rPr>
          <w:sz w:val="24"/>
        </w:rPr>
        <w:t xml:space="preserve">itle I of the Rehabilitation Act of 1973 (29 U.S.C. 720 et seq.), as amended by WIOA </w:t>
      </w:r>
      <w:r w:rsidR="009148E4">
        <w:rPr>
          <w:sz w:val="24"/>
        </w:rPr>
        <w:t>T</w:t>
      </w:r>
      <w:r>
        <w:rPr>
          <w:sz w:val="24"/>
        </w:rPr>
        <w:t>itle IV;</w:t>
      </w:r>
    </w:p>
    <w:p w14:paraId="365A9653" w14:textId="77777777" w:rsidR="00E41A5B" w:rsidRDefault="00E41A5B">
      <w:pPr>
        <w:pStyle w:val="BodyText"/>
        <w:jc w:val="left"/>
      </w:pPr>
    </w:p>
    <w:p w14:paraId="365A9654" w14:textId="77777777" w:rsidR="00E41A5B" w:rsidRDefault="00DA7B02">
      <w:pPr>
        <w:ind w:left="1299"/>
        <w:rPr>
          <w:i/>
          <w:sz w:val="24"/>
        </w:rPr>
      </w:pPr>
      <w:r>
        <w:rPr>
          <w:i/>
          <w:sz w:val="24"/>
        </w:rPr>
        <w:t>Department</w:t>
      </w:r>
      <w:r>
        <w:rPr>
          <w:i/>
          <w:spacing w:val="-4"/>
          <w:sz w:val="24"/>
        </w:rPr>
        <w:t xml:space="preserve"> </w:t>
      </w:r>
      <w:r>
        <w:rPr>
          <w:i/>
          <w:sz w:val="24"/>
        </w:rPr>
        <w:t>of</w:t>
      </w:r>
      <w:r>
        <w:rPr>
          <w:i/>
          <w:spacing w:val="-2"/>
          <w:sz w:val="24"/>
        </w:rPr>
        <w:t xml:space="preserve"> </w:t>
      </w:r>
      <w:r>
        <w:rPr>
          <w:i/>
          <w:sz w:val="24"/>
        </w:rPr>
        <w:t>Housing</w:t>
      </w:r>
      <w:r>
        <w:rPr>
          <w:i/>
          <w:spacing w:val="-1"/>
          <w:sz w:val="24"/>
        </w:rPr>
        <w:t xml:space="preserve"> </w:t>
      </w:r>
      <w:r>
        <w:rPr>
          <w:i/>
          <w:sz w:val="24"/>
        </w:rPr>
        <w:t>and</w:t>
      </w:r>
      <w:r>
        <w:rPr>
          <w:i/>
          <w:spacing w:val="-2"/>
          <w:sz w:val="24"/>
        </w:rPr>
        <w:t xml:space="preserve"> </w:t>
      </w:r>
      <w:r>
        <w:rPr>
          <w:i/>
          <w:sz w:val="24"/>
        </w:rPr>
        <w:t>Urban</w:t>
      </w:r>
      <w:r>
        <w:rPr>
          <w:i/>
          <w:spacing w:val="-2"/>
          <w:sz w:val="24"/>
        </w:rPr>
        <w:t xml:space="preserve"> </w:t>
      </w:r>
      <w:r>
        <w:rPr>
          <w:i/>
          <w:sz w:val="24"/>
        </w:rPr>
        <w:t>Development</w:t>
      </w:r>
      <w:r>
        <w:rPr>
          <w:i/>
          <w:spacing w:val="1"/>
          <w:sz w:val="24"/>
        </w:rPr>
        <w:t xml:space="preserve"> </w:t>
      </w:r>
      <w:r>
        <w:rPr>
          <w:i/>
          <w:spacing w:val="-2"/>
          <w:sz w:val="24"/>
        </w:rPr>
        <w:t>(HUD)</w:t>
      </w:r>
    </w:p>
    <w:p w14:paraId="365A9655" w14:textId="77777777" w:rsidR="00E41A5B" w:rsidRDefault="00DA7B02">
      <w:pPr>
        <w:pStyle w:val="ListParagraph"/>
        <w:numPr>
          <w:ilvl w:val="0"/>
          <w:numId w:val="21"/>
        </w:numPr>
        <w:tabs>
          <w:tab w:val="left" w:pos="1851"/>
        </w:tabs>
        <w:ind w:left="1851" w:hanging="280"/>
      </w:pPr>
      <w:r>
        <w:rPr>
          <w:sz w:val="23"/>
        </w:rPr>
        <w:t>Employment</w:t>
      </w:r>
      <w:r>
        <w:rPr>
          <w:spacing w:val="-4"/>
          <w:sz w:val="23"/>
        </w:rPr>
        <w:t xml:space="preserve"> </w:t>
      </w:r>
      <w:r>
        <w:rPr>
          <w:sz w:val="23"/>
        </w:rPr>
        <w:t>and</w:t>
      </w:r>
      <w:r>
        <w:rPr>
          <w:spacing w:val="-7"/>
          <w:sz w:val="23"/>
        </w:rPr>
        <w:t xml:space="preserve"> </w:t>
      </w:r>
      <w:r>
        <w:rPr>
          <w:sz w:val="23"/>
        </w:rPr>
        <w:t>training</w:t>
      </w:r>
      <w:r>
        <w:rPr>
          <w:spacing w:val="-6"/>
          <w:sz w:val="23"/>
        </w:rPr>
        <w:t xml:space="preserve"> </w:t>
      </w:r>
      <w:r>
        <w:rPr>
          <w:spacing w:val="-2"/>
          <w:sz w:val="23"/>
        </w:rPr>
        <w:t>programs;</w:t>
      </w:r>
    </w:p>
    <w:p w14:paraId="365A9656" w14:textId="77777777" w:rsidR="00E41A5B" w:rsidRDefault="00DA7B02">
      <w:pPr>
        <w:spacing w:before="264"/>
        <w:ind w:left="1300"/>
        <w:jc w:val="both"/>
        <w:rPr>
          <w:i/>
          <w:sz w:val="24"/>
        </w:rPr>
      </w:pPr>
      <w:r>
        <w:rPr>
          <w:i/>
          <w:sz w:val="24"/>
        </w:rPr>
        <w:t>Department</w:t>
      </w:r>
      <w:r>
        <w:rPr>
          <w:i/>
          <w:spacing w:val="-4"/>
          <w:sz w:val="24"/>
        </w:rPr>
        <w:t xml:space="preserve"> </w:t>
      </w:r>
      <w:r>
        <w:rPr>
          <w:i/>
          <w:sz w:val="24"/>
        </w:rPr>
        <w:t>of</w:t>
      </w:r>
      <w:r>
        <w:rPr>
          <w:i/>
          <w:spacing w:val="-1"/>
          <w:sz w:val="24"/>
        </w:rPr>
        <w:t xml:space="preserve"> </w:t>
      </w:r>
      <w:r>
        <w:rPr>
          <w:i/>
          <w:sz w:val="24"/>
        </w:rPr>
        <w:t>Health</w:t>
      </w:r>
      <w:r>
        <w:rPr>
          <w:i/>
          <w:spacing w:val="-1"/>
          <w:sz w:val="24"/>
        </w:rPr>
        <w:t xml:space="preserve"> </w:t>
      </w:r>
      <w:r>
        <w:rPr>
          <w:i/>
          <w:sz w:val="24"/>
        </w:rPr>
        <w:t>and</w:t>
      </w:r>
      <w:r>
        <w:rPr>
          <w:i/>
          <w:spacing w:val="-2"/>
          <w:sz w:val="24"/>
        </w:rPr>
        <w:t xml:space="preserve"> </w:t>
      </w:r>
      <w:r>
        <w:rPr>
          <w:i/>
          <w:sz w:val="24"/>
        </w:rPr>
        <w:t>Human</w:t>
      </w:r>
      <w:r>
        <w:rPr>
          <w:i/>
          <w:spacing w:val="-1"/>
          <w:sz w:val="24"/>
        </w:rPr>
        <w:t xml:space="preserve"> </w:t>
      </w:r>
      <w:r>
        <w:rPr>
          <w:i/>
          <w:sz w:val="24"/>
        </w:rPr>
        <w:t>Services</w:t>
      </w:r>
      <w:r>
        <w:rPr>
          <w:i/>
          <w:spacing w:val="1"/>
          <w:sz w:val="24"/>
        </w:rPr>
        <w:t xml:space="preserve"> </w:t>
      </w:r>
      <w:r>
        <w:rPr>
          <w:i/>
          <w:spacing w:val="-4"/>
          <w:sz w:val="24"/>
        </w:rPr>
        <w:t>(HHS)</w:t>
      </w:r>
    </w:p>
    <w:p w14:paraId="365A9657" w14:textId="77777777" w:rsidR="00E41A5B" w:rsidRDefault="00DA7B02">
      <w:pPr>
        <w:pStyle w:val="ListParagraph"/>
        <w:numPr>
          <w:ilvl w:val="0"/>
          <w:numId w:val="21"/>
        </w:numPr>
        <w:tabs>
          <w:tab w:val="left" w:pos="1840"/>
          <w:tab w:val="left" w:pos="1850"/>
        </w:tabs>
        <w:spacing w:before="2"/>
        <w:ind w:left="1840" w:right="1357" w:hanging="269"/>
      </w:pPr>
      <w:r>
        <w:rPr>
          <w:sz w:val="23"/>
        </w:rPr>
        <w:t>Employment and training activities carried out under the Community Services Block Grant (CSBG)</w:t>
      </w:r>
      <w:r>
        <w:rPr>
          <w:spacing w:val="80"/>
          <w:sz w:val="23"/>
        </w:rPr>
        <w:t xml:space="preserve"> </w:t>
      </w:r>
      <w:r>
        <w:rPr>
          <w:sz w:val="23"/>
        </w:rPr>
        <w:t>programs (42 U.S.C. 9901 et seq.); and</w:t>
      </w:r>
    </w:p>
    <w:p w14:paraId="365A9658" w14:textId="231C5F2A" w:rsidR="00E41A5B" w:rsidRDefault="00DA7B02">
      <w:pPr>
        <w:pStyle w:val="ListParagraph"/>
        <w:numPr>
          <w:ilvl w:val="0"/>
          <w:numId w:val="21"/>
        </w:numPr>
        <w:tabs>
          <w:tab w:val="left" w:pos="1814"/>
          <w:tab w:val="left" w:pos="1839"/>
        </w:tabs>
        <w:ind w:left="1839" w:right="1358" w:hanging="269"/>
        <w:rPr>
          <w:sz w:val="20"/>
        </w:rPr>
      </w:pPr>
      <w:r>
        <w:rPr>
          <w:sz w:val="20"/>
        </w:rPr>
        <w:t>T</w:t>
      </w:r>
      <w:r>
        <w:rPr>
          <w:sz w:val="23"/>
        </w:rPr>
        <w:t>emporary</w:t>
      </w:r>
      <w:r>
        <w:rPr>
          <w:spacing w:val="-2"/>
          <w:sz w:val="23"/>
        </w:rPr>
        <w:t xml:space="preserve"> </w:t>
      </w:r>
      <w:r>
        <w:rPr>
          <w:sz w:val="23"/>
        </w:rPr>
        <w:t>Assistance for Needy</w:t>
      </w:r>
      <w:r>
        <w:rPr>
          <w:spacing w:val="-2"/>
          <w:sz w:val="23"/>
        </w:rPr>
        <w:t xml:space="preserve"> </w:t>
      </w:r>
      <w:r>
        <w:rPr>
          <w:sz w:val="23"/>
        </w:rPr>
        <w:t xml:space="preserve">Families (TANF) program, authorized under part A of </w:t>
      </w:r>
      <w:r w:rsidR="009148E4">
        <w:rPr>
          <w:sz w:val="23"/>
        </w:rPr>
        <w:t>T</w:t>
      </w:r>
      <w:r>
        <w:rPr>
          <w:sz w:val="23"/>
        </w:rPr>
        <w:t xml:space="preserve">itle IV of the Social Security Act (42 U.S.C. 601 et seq.), unless exempted by the Governor under 20 CFR </w:t>
      </w:r>
      <w:r w:rsidR="009148E4">
        <w:t>§§</w:t>
      </w:r>
      <w:r w:rsidR="009148E4">
        <w:t xml:space="preserve"> </w:t>
      </w:r>
      <w:r>
        <w:rPr>
          <w:sz w:val="23"/>
        </w:rPr>
        <w:t>678.405(b), 34 CFR 361.405(b), and 34 CFR 463.405(b).</w:t>
      </w:r>
    </w:p>
    <w:p w14:paraId="365A9659" w14:textId="7EF4AA7A" w:rsidR="00E41A5B" w:rsidRDefault="00DA7B02">
      <w:pPr>
        <w:pStyle w:val="BodyText"/>
        <w:spacing w:before="262"/>
        <w:ind w:left="1299" w:right="1356"/>
      </w:pPr>
      <w:r>
        <w:rPr>
          <w:b/>
        </w:rPr>
        <w:t>Additional Partners.</w:t>
      </w:r>
      <w:r>
        <w:rPr>
          <w:b/>
          <w:spacing w:val="40"/>
        </w:rPr>
        <w:t xml:space="preserve"> </w:t>
      </w:r>
      <w:r>
        <w:t xml:space="preserve">Pursuant to WIOA </w:t>
      </w:r>
      <w:r w:rsidR="009148E4">
        <w:t>S</w:t>
      </w:r>
      <w:r>
        <w:t xml:space="preserve">ec. 121(b)(2)(B) and 20 CFR </w:t>
      </w:r>
      <w:r w:rsidR="009148E4">
        <w:t>§§</w:t>
      </w:r>
      <w:r w:rsidR="009148E4">
        <w:t xml:space="preserve"> </w:t>
      </w:r>
      <w:r>
        <w:t>678.410, 34 CFR 361.410,</w:t>
      </w:r>
      <w:r>
        <w:rPr>
          <w:spacing w:val="-2"/>
        </w:rPr>
        <w:t xml:space="preserve"> </w:t>
      </w:r>
      <w:r>
        <w:t>and</w:t>
      </w:r>
      <w:r>
        <w:rPr>
          <w:spacing w:val="-2"/>
        </w:rPr>
        <w:t xml:space="preserve"> </w:t>
      </w:r>
      <w:r>
        <w:t>34</w:t>
      </w:r>
      <w:r>
        <w:rPr>
          <w:spacing w:val="-2"/>
        </w:rPr>
        <w:t xml:space="preserve"> </w:t>
      </w:r>
      <w:r>
        <w:t>CFR</w:t>
      </w:r>
      <w:r>
        <w:rPr>
          <w:spacing w:val="-2"/>
        </w:rPr>
        <w:t xml:space="preserve"> </w:t>
      </w:r>
      <w:r>
        <w:t>463.410,</w:t>
      </w:r>
      <w:r>
        <w:rPr>
          <w:spacing w:val="-2"/>
        </w:rPr>
        <w:t xml:space="preserve"> </w:t>
      </w:r>
      <w:r>
        <w:t>additional</w:t>
      </w:r>
      <w:r>
        <w:rPr>
          <w:spacing w:val="-2"/>
        </w:rPr>
        <w:t xml:space="preserve"> </w:t>
      </w:r>
      <w:r>
        <w:t>one-stop</w:t>
      </w:r>
      <w:r>
        <w:rPr>
          <w:spacing w:val="-2"/>
        </w:rPr>
        <w:t xml:space="preserve"> </w:t>
      </w:r>
      <w:r>
        <w:t>partners may</w:t>
      </w:r>
      <w:r>
        <w:rPr>
          <w:spacing w:val="-7"/>
        </w:rPr>
        <w:t xml:space="preserve"> </w:t>
      </w:r>
      <w:r>
        <w:t>include, with</w:t>
      </w:r>
      <w:r>
        <w:rPr>
          <w:spacing w:val="-2"/>
        </w:rPr>
        <w:t xml:space="preserve"> </w:t>
      </w:r>
      <w:r>
        <w:t>the</w:t>
      </w:r>
      <w:r>
        <w:rPr>
          <w:spacing w:val="-3"/>
        </w:rPr>
        <w:t xml:space="preserve"> </w:t>
      </w:r>
      <w:r>
        <w:t>approval</w:t>
      </w:r>
      <w:r>
        <w:rPr>
          <w:spacing w:val="-2"/>
        </w:rPr>
        <w:t xml:space="preserve"> </w:t>
      </w:r>
      <w:r>
        <w:t>of</w:t>
      </w:r>
      <w:r>
        <w:rPr>
          <w:spacing w:val="-3"/>
        </w:rPr>
        <w:t xml:space="preserve"> </w:t>
      </w:r>
      <w:r>
        <w:t>the LWDB and CEO(s), the following:</w:t>
      </w:r>
    </w:p>
    <w:p w14:paraId="365A965A" w14:textId="77777777" w:rsidR="00E41A5B" w:rsidRDefault="00E41A5B">
      <w:pPr>
        <w:pStyle w:val="BodyText"/>
        <w:spacing w:before="4"/>
        <w:jc w:val="left"/>
      </w:pPr>
    </w:p>
    <w:p w14:paraId="365A965B" w14:textId="3E8A8DC9" w:rsidR="00E41A5B" w:rsidRDefault="00DA7B02">
      <w:pPr>
        <w:pStyle w:val="ListParagraph"/>
        <w:numPr>
          <w:ilvl w:val="1"/>
          <w:numId w:val="21"/>
        </w:numPr>
        <w:tabs>
          <w:tab w:val="left" w:pos="2072"/>
        </w:tabs>
        <w:spacing w:line="237" w:lineRule="auto"/>
        <w:ind w:right="1354"/>
        <w:rPr>
          <w:sz w:val="24"/>
        </w:rPr>
      </w:pPr>
      <w:r>
        <w:rPr>
          <w:sz w:val="24"/>
        </w:rPr>
        <w:t xml:space="preserve">Social Security Administration (SSA) employment and training program established under </w:t>
      </w:r>
      <w:r w:rsidR="009148E4">
        <w:rPr>
          <w:sz w:val="24"/>
        </w:rPr>
        <w:t>S</w:t>
      </w:r>
      <w:r>
        <w:rPr>
          <w:sz w:val="24"/>
        </w:rPr>
        <w:t xml:space="preserve">ec. 1148 of the Social Security Act (i.e. Ticket to Work and Self Sufficiency </w:t>
      </w:r>
      <w:r>
        <w:rPr>
          <w:spacing w:val="-2"/>
          <w:sz w:val="24"/>
        </w:rPr>
        <w:t>programs);</w:t>
      </w:r>
    </w:p>
    <w:p w14:paraId="365A965C" w14:textId="77777777" w:rsidR="00E41A5B" w:rsidRDefault="00DA7B02">
      <w:pPr>
        <w:pStyle w:val="ListParagraph"/>
        <w:numPr>
          <w:ilvl w:val="1"/>
          <w:numId w:val="21"/>
        </w:numPr>
        <w:tabs>
          <w:tab w:val="left" w:pos="2071"/>
        </w:tabs>
        <w:spacing w:before="5"/>
        <w:ind w:left="2071" w:hanging="359"/>
        <w:rPr>
          <w:sz w:val="24"/>
        </w:rPr>
      </w:pPr>
      <w:r>
        <w:rPr>
          <w:sz w:val="24"/>
        </w:rPr>
        <w:t>Small</w:t>
      </w:r>
      <w:r>
        <w:rPr>
          <w:spacing w:val="-5"/>
          <w:sz w:val="24"/>
        </w:rPr>
        <w:t xml:space="preserve"> </w:t>
      </w:r>
      <w:r>
        <w:rPr>
          <w:sz w:val="24"/>
        </w:rPr>
        <w:t>Business</w:t>
      </w:r>
      <w:r>
        <w:rPr>
          <w:spacing w:val="-3"/>
          <w:sz w:val="24"/>
        </w:rPr>
        <w:t xml:space="preserve"> </w:t>
      </w:r>
      <w:r>
        <w:rPr>
          <w:sz w:val="24"/>
        </w:rPr>
        <w:t>Administration</w:t>
      </w:r>
      <w:r>
        <w:rPr>
          <w:spacing w:val="-3"/>
          <w:sz w:val="24"/>
        </w:rPr>
        <w:t xml:space="preserve"> </w:t>
      </w:r>
      <w:r>
        <w:rPr>
          <w:sz w:val="24"/>
        </w:rPr>
        <w:t>employment and</w:t>
      </w:r>
      <w:r>
        <w:rPr>
          <w:spacing w:val="-3"/>
          <w:sz w:val="24"/>
        </w:rPr>
        <w:t xml:space="preserve"> </w:t>
      </w:r>
      <w:r>
        <w:rPr>
          <w:sz w:val="24"/>
        </w:rPr>
        <w:t>training</w:t>
      </w:r>
      <w:r>
        <w:rPr>
          <w:spacing w:val="-5"/>
          <w:sz w:val="24"/>
        </w:rPr>
        <w:t xml:space="preserve"> </w:t>
      </w:r>
      <w:r>
        <w:rPr>
          <w:spacing w:val="-2"/>
          <w:sz w:val="24"/>
        </w:rPr>
        <w:t>programs;</w:t>
      </w:r>
    </w:p>
    <w:p w14:paraId="365A965D" w14:textId="77777777" w:rsidR="00E41A5B" w:rsidRDefault="00DA7B02">
      <w:pPr>
        <w:pStyle w:val="ListParagraph"/>
        <w:numPr>
          <w:ilvl w:val="1"/>
          <w:numId w:val="21"/>
        </w:numPr>
        <w:tabs>
          <w:tab w:val="left" w:pos="2072"/>
        </w:tabs>
        <w:spacing w:before="4" w:line="237" w:lineRule="auto"/>
        <w:ind w:right="1358"/>
        <w:jc w:val="left"/>
        <w:rPr>
          <w:sz w:val="24"/>
        </w:rPr>
      </w:pPr>
      <w:r>
        <w:rPr>
          <w:sz w:val="24"/>
        </w:rPr>
        <w:t>Supplemental</w:t>
      </w:r>
      <w:r>
        <w:rPr>
          <w:spacing w:val="40"/>
          <w:sz w:val="24"/>
        </w:rPr>
        <w:t xml:space="preserve"> </w:t>
      </w:r>
      <w:r>
        <w:rPr>
          <w:sz w:val="24"/>
        </w:rPr>
        <w:t>Nutrition</w:t>
      </w:r>
      <w:r>
        <w:rPr>
          <w:spacing w:val="40"/>
          <w:sz w:val="24"/>
        </w:rPr>
        <w:t xml:space="preserve"> </w:t>
      </w:r>
      <w:r>
        <w:rPr>
          <w:sz w:val="24"/>
        </w:rPr>
        <w:t>and</w:t>
      </w:r>
      <w:r>
        <w:rPr>
          <w:spacing w:val="40"/>
          <w:sz w:val="24"/>
        </w:rPr>
        <w:t xml:space="preserve"> </w:t>
      </w:r>
      <w:r>
        <w:rPr>
          <w:sz w:val="24"/>
        </w:rPr>
        <w:t>Assistance</w:t>
      </w:r>
      <w:r>
        <w:rPr>
          <w:spacing w:val="40"/>
          <w:sz w:val="24"/>
        </w:rPr>
        <w:t xml:space="preserve"> </w:t>
      </w:r>
      <w:r>
        <w:rPr>
          <w:sz w:val="24"/>
        </w:rPr>
        <w:t>Program</w:t>
      </w:r>
      <w:r>
        <w:rPr>
          <w:spacing w:val="40"/>
          <w:sz w:val="24"/>
        </w:rPr>
        <w:t xml:space="preserve"> </w:t>
      </w:r>
      <w:r>
        <w:rPr>
          <w:sz w:val="24"/>
        </w:rPr>
        <w:t>(SNAP)</w:t>
      </w:r>
      <w:r>
        <w:rPr>
          <w:spacing w:val="40"/>
          <w:sz w:val="24"/>
        </w:rPr>
        <w:t xml:space="preserve"> </w:t>
      </w:r>
      <w:r>
        <w:rPr>
          <w:sz w:val="24"/>
        </w:rPr>
        <w:t>employment</w:t>
      </w:r>
      <w:r>
        <w:rPr>
          <w:spacing w:val="40"/>
          <w:sz w:val="24"/>
        </w:rPr>
        <w:t xml:space="preserve"> </w:t>
      </w:r>
      <w:r>
        <w:rPr>
          <w:sz w:val="24"/>
        </w:rPr>
        <w:t>and</w:t>
      </w:r>
      <w:r>
        <w:rPr>
          <w:spacing w:val="40"/>
          <w:sz w:val="24"/>
        </w:rPr>
        <w:t xml:space="preserve"> </w:t>
      </w:r>
      <w:r>
        <w:rPr>
          <w:sz w:val="24"/>
        </w:rPr>
        <w:t>training</w:t>
      </w:r>
      <w:r>
        <w:rPr>
          <w:spacing w:val="80"/>
          <w:sz w:val="24"/>
        </w:rPr>
        <w:t xml:space="preserve"> </w:t>
      </w:r>
      <w:r>
        <w:rPr>
          <w:sz w:val="24"/>
        </w:rPr>
        <w:t>programs,</w:t>
      </w:r>
      <w:r>
        <w:rPr>
          <w:spacing w:val="-1"/>
          <w:sz w:val="24"/>
        </w:rPr>
        <w:t xml:space="preserve"> </w:t>
      </w:r>
      <w:r>
        <w:rPr>
          <w:sz w:val="24"/>
        </w:rPr>
        <w:t>authorized</w:t>
      </w:r>
      <w:r>
        <w:rPr>
          <w:spacing w:val="-1"/>
          <w:sz w:val="24"/>
        </w:rPr>
        <w:t xml:space="preserve"> </w:t>
      </w:r>
      <w:r>
        <w:rPr>
          <w:sz w:val="24"/>
        </w:rPr>
        <w:t>under</w:t>
      </w:r>
      <w:r>
        <w:rPr>
          <w:spacing w:val="-2"/>
          <w:sz w:val="24"/>
        </w:rPr>
        <w:t xml:space="preserve"> </w:t>
      </w:r>
      <w:r>
        <w:rPr>
          <w:sz w:val="24"/>
        </w:rPr>
        <w:t>secs.</w:t>
      </w:r>
      <w:r>
        <w:rPr>
          <w:spacing w:val="-1"/>
          <w:sz w:val="24"/>
        </w:rPr>
        <w:t xml:space="preserve"> </w:t>
      </w:r>
      <w:r>
        <w:rPr>
          <w:sz w:val="24"/>
        </w:rPr>
        <w:t>6(d)(4)</w:t>
      </w:r>
      <w:r>
        <w:rPr>
          <w:spacing w:val="-2"/>
          <w:sz w:val="24"/>
        </w:rPr>
        <w:t xml:space="preserve"> </w:t>
      </w:r>
      <w:r>
        <w:rPr>
          <w:sz w:val="24"/>
        </w:rPr>
        <w:t>and</w:t>
      </w:r>
      <w:r>
        <w:rPr>
          <w:spacing w:val="-1"/>
          <w:sz w:val="24"/>
        </w:rPr>
        <w:t xml:space="preserve"> </w:t>
      </w:r>
      <w:r>
        <w:rPr>
          <w:sz w:val="24"/>
        </w:rPr>
        <w:t>6(o) of</w:t>
      </w:r>
      <w:r>
        <w:rPr>
          <w:spacing w:val="-2"/>
          <w:sz w:val="24"/>
        </w:rPr>
        <w:t xml:space="preserve"> </w:t>
      </w:r>
      <w:r>
        <w:rPr>
          <w:sz w:val="24"/>
        </w:rPr>
        <w:t>the</w:t>
      </w:r>
      <w:r>
        <w:rPr>
          <w:spacing w:val="-2"/>
          <w:sz w:val="24"/>
        </w:rPr>
        <w:t xml:space="preserve"> </w:t>
      </w:r>
      <w:r>
        <w:rPr>
          <w:sz w:val="24"/>
        </w:rPr>
        <w:t>Food and</w:t>
      </w:r>
      <w:r>
        <w:rPr>
          <w:spacing w:val="-1"/>
          <w:sz w:val="24"/>
        </w:rPr>
        <w:t xml:space="preserve"> </w:t>
      </w:r>
      <w:r>
        <w:rPr>
          <w:sz w:val="24"/>
        </w:rPr>
        <w:t>Nutrition</w:t>
      </w:r>
      <w:r>
        <w:rPr>
          <w:spacing w:val="-1"/>
          <w:sz w:val="24"/>
        </w:rPr>
        <w:t xml:space="preserve"> </w:t>
      </w:r>
      <w:r>
        <w:rPr>
          <w:sz w:val="24"/>
        </w:rPr>
        <w:t>Act</w:t>
      </w:r>
      <w:r>
        <w:rPr>
          <w:spacing w:val="-1"/>
          <w:sz w:val="24"/>
        </w:rPr>
        <w:t xml:space="preserve"> </w:t>
      </w:r>
      <w:r>
        <w:rPr>
          <w:sz w:val="24"/>
        </w:rPr>
        <w:t>of</w:t>
      </w:r>
      <w:r>
        <w:rPr>
          <w:spacing w:val="-2"/>
          <w:sz w:val="24"/>
        </w:rPr>
        <w:t xml:space="preserve"> </w:t>
      </w:r>
      <w:r>
        <w:rPr>
          <w:sz w:val="24"/>
        </w:rPr>
        <w:t>2008;</w:t>
      </w:r>
    </w:p>
    <w:p w14:paraId="365A965E" w14:textId="5AD93618" w:rsidR="00E41A5B" w:rsidRDefault="00DA7B02">
      <w:pPr>
        <w:pStyle w:val="ListParagraph"/>
        <w:numPr>
          <w:ilvl w:val="1"/>
          <w:numId w:val="21"/>
        </w:numPr>
        <w:tabs>
          <w:tab w:val="left" w:pos="2072"/>
        </w:tabs>
        <w:spacing w:before="4" w:line="237" w:lineRule="auto"/>
        <w:ind w:right="1355"/>
        <w:jc w:val="left"/>
        <w:rPr>
          <w:sz w:val="24"/>
        </w:rPr>
      </w:pPr>
      <w:r>
        <w:rPr>
          <w:sz w:val="24"/>
        </w:rPr>
        <w:t xml:space="preserve">Client Assistance Program (CAP), authorized under </w:t>
      </w:r>
      <w:r w:rsidR="009148E4">
        <w:rPr>
          <w:sz w:val="24"/>
        </w:rPr>
        <w:t>S</w:t>
      </w:r>
      <w:r>
        <w:rPr>
          <w:sz w:val="24"/>
        </w:rPr>
        <w:t xml:space="preserve">ec. 112 of the Rehabilitation Act of 1973, as amended by </w:t>
      </w:r>
      <w:r w:rsidR="009148E4">
        <w:rPr>
          <w:sz w:val="24"/>
        </w:rPr>
        <w:t>T</w:t>
      </w:r>
      <w:r>
        <w:rPr>
          <w:sz w:val="24"/>
        </w:rPr>
        <w:t>itle IV of WIOA;</w:t>
      </w:r>
    </w:p>
    <w:p w14:paraId="365A965F" w14:textId="77777777" w:rsidR="00E41A5B" w:rsidRDefault="00DA7B02">
      <w:pPr>
        <w:pStyle w:val="ListParagraph"/>
        <w:numPr>
          <w:ilvl w:val="1"/>
          <w:numId w:val="21"/>
        </w:numPr>
        <w:tabs>
          <w:tab w:val="left" w:pos="2072"/>
        </w:tabs>
        <w:spacing w:before="2" w:line="293" w:lineRule="exact"/>
        <w:jc w:val="left"/>
        <w:rPr>
          <w:sz w:val="24"/>
        </w:rPr>
      </w:pPr>
      <w:r>
        <w:rPr>
          <w:sz w:val="24"/>
        </w:rPr>
        <w:t>National</w:t>
      </w:r>
      <w:r>
        <w:rPr>
          <w:spacing w:val="-2"/>
          <w:sz w:val="24"/>
        </w:rPr>
        <w:t xml:space="preserve"> </w:t>
      </w:r>
      <w:r>
        <w:rPr>
          <w:sz w:val="24"/>
        </w:rPr>
        <w:t>and</w:t>
      </w:r>
      <w:r>
        <w:rPr>
          <w:spacing w:val="-1"/>
          <w:sz w:val="24"/>
        </w:rPr>
        <w:t xml:space="preserve"> </w:t>
      </w:r>
      <w:r>
        <w:rPr>
          <w:sz w:val="24"/>
        </w:rPr>
        <w:t>Community</w:t>
      </w:r>
      <w:r>
        <w:rPr>
          <w:spacing w:val="-4"/>
          <w:sz w:val="24"/>
        </w:rPr>
        <w:t xml:space="preserve"> </w:t>
      </w:r>
      <w:r>
        <w:rPr>
          <w:sz w:val="24"/>
        </w:rPr>
        <w:t>Service</w:t>
      </w:r>
      <w:r>
        <w:rPr>
          <w:spacing w:val="-3"/>
          <w:sz w:val="24"/>
        </w:rPr>
        <w:t xml:space="preserve"> </w:t>
      </w:r>
      <w:r>
        <w:rPr>
          <w:sz w:val="24"/>
        </w:rPr>
        <w:t>Act</w:t>
      </w:r>
      <w:r>
        <w:rPr>
          <w:spacing w:val="-1"/>
          <w:sz w:val="24"/>
        </w:rPr>
        <w:t xml:space="preserve"> </w:t>
      </w:r>
      <w:r>
        <w:rPr>
          <w:sz w:val="24"/>
        </w:rPr>
        <w:t>programs;</w:t>
      </w:r>
      <w:r>
        <w:rPr>
          <w:spacing w:val="-1"/>
          <w:sz w:val="24"/>
        </w:rPr>
        <w:t xml:space="preserve"> </w:t>
      </w:r>
      <w:r>
        <w:rPr>
          <w:spacing w:val="-5"/>
          <w:sz w:val="24"/>
        </w:rPr>
        <w:t>and</w:t>
      </w:r>
    </w:p>
    <w:p w14:paraId="365A9660" w14:textId="5E5C9981" w:rsidR="00E41A5B" w:rsidRDefault="00DA7B02">
      <w:pPr>
        <w:pStyle w:val="ListParagraph"/>
        <w:numPr>
          <w:ilvl w:val="1"/>
          <w:numId w:val="21"/>
        </w:numPr>
        <w:tabs>
          <w:tab w:val="left" w:pos="2072"/>
        </w:tabs>
        <w:ind w:right="1359"/>
        <w:rPr>
          <w:sz w:val="24"/>
        </w:rPr>
      </w:pPr>
      <w:r>
        <w:rPr>
          <w:sz w:val="24"/>
        </w:rPr>
        <w:t>Other appropriate Federal, State, or local programs, including, but not limited to, employment,</w:t>
      </w:r>
      <w:r>
        <w:rPr>
          <w:spacing w:val="-1"/>
          <w:sz w:val="24"/>
        </w:rPr>
        <w:t xml:space="preserve"> </w:t>
      </w:r>
      <w:r>
        <w:rPr>
          <w:sz w:val="24"/>
        </w:rPr>
        <w:t>education,</w:t>
      </w:r>
      <w:r>
        <w:rPr>
          <w:spacing w:val="-1"/>
          <w:sz w:val="24"/>
        </w:rPr>
        <w:t xml:space="preserve"> </w:t>
      </w:r>
      <w:r>
        <w:rPr>
          <w:sz w:val="24"/>
        </w:rPr>
        <w:t>or</w:t>
      </w:r>
      <w:r>
        <w:rPr>
          <w:spacing w:val="-2"/>
          <w:sz w:val="24"/>
        </w:rPr>
        <w:t xml:space="preserve"> </w:t>
      </w:r>
      <w:r>
        <w:rPr>
          <w:sz w:val="24"/>
        </w:rPr>
        <w:t>training</w:t>
      </w:r>
      <w:r>
        <w:rPr>
          <w:spacing w:val="-3"/>
          <w:sz w:val="24"/>
        </w:rPr>
        <w:t xml:space="preserve"> </w:t>
      </w:r>
      <w:r>
        <w:rPr>
          <w:sz w:val="24"/>
        </w:rPr>
        <w:t>programs</w:t>
      </w:r>
      <w:r>
        <w:rPr>
          <w:spacing w:val="-1"/>
          <w:sz w:val="24"/>
        </w:rPr>
        <w:t xml:space="preserve"> </w:t>
      </w:r>
      <w:r>
        <w:rPr>
          <w:sz w:val="24"/>
        </w:rPr>
        <w:t>such</w:t>
      </w:r>
      <w:r>
        <w:rPr>
          <w:spacing w:val="-1"/>
          <w:sz w:val="24"/>
        </w:rPr>
        <w:t xml:space="preserve"> </w:t>
      </w:r>
      <w:r>
        <w:rPr>
          <w:sz w:val="24"/>
        </w:rPr>
        <w:t>as</w:t>
      </w:r>
      <w:r>
        <w:rPr>
          <w:spacing w:val="-1"/>
          <w:sz w:val="24"/>
        </w:rPr>
        <w:t xml:space="preserve"> </w:t>
      </w:r>
      <w:r>
        <w:rPr>
          <w:sz w:val="24"/>
        </w:rPr>
        <w:t>those</w:t>
      </w:r>
      <w:r>
        <w:rPr>
          <w:spacing w:val="-2"/>
          <w:sz w:val="24"/>
        </w:rPr>
        <w:t xml:space="preserve"> </w:t>
      </w:r>
      <w:r>
        <w:rPr>
          <w:sz w:val="24"/>
        </w:rPr>
        <w:t>operated</w:t>
      </w:r>
      <w:r>
        <w:rPr>
          <w:spacing w:val="-1"/>
          <w:sz w:val="24"/>
        </w:rPr>
        <w:t xml:space="preserve"> </w:t>
      </w:r>
      <w:r>
        <w:rPr>
          <w:sz w:val="24"/>
        </w:rPr>
        <w:t>by</w:t>
      </w:r>
      <w:r>
        <w:rPr>
          <w:spacing w:val="-6"/>
          <w:sz w:val="24"/>
        </w:rPr>
        <w:t xml:space="preserve"> </w:t>
      </w:r>
      <w:r>
        <w:rPr>
          <w:sz w:val="24"/>
        </w:rPr>
        <w:t>libraries</w:t>
      </w:r>
      <w:r>
        <w:rPr>
          <w:spacing w:val="-1"/>
          <w:sz w:val="24"/>
        </w:rPr>
        <w:t xml:space="preserve"> </w:t>
      </w:r>
      <w:r>
        <w:rPr>
          <w:sz w:val="24"/>
        </w:rPr>
        <w:t>or</w:t>
      </w:r>
      <w:r>
        <w:rPr>
          <w:spacing w:val="-2"/>
          <w:sz w:val="24"/>
        </w:rPr>
        <w:t xml:space="preserve"> </w:t>
      </w:r>
      <w:r>
        <w:rPr>
          <w:sz w:val="24"/>
        </w:rPr>
        <w:t>in</w:t>
      </w:r>
      <w:r>
        <w:rPr>
          <w:spacing w:val="-1"/>
          <w:sz w:val="24"/>
        </w:rPr>
        <w:t xml:space="preserve"> </w:t>
      </w:r>
      <w:r>
        <w:rPr>
          <w:sz w:val="24"/>
        </w:rPr>
        <w:t xml:space="preserve">the private sector (WIOA </w:t>
      </w:r>
      <w:r w:rsidR="009148E4">
        <w:rPr>
          <w:sz w:val="24"/>
        </w:rPr>
        <w:t>S</w:t>
      </w:r>
      <w:r>
        <w:rPr>
          <w:sz w:val="24"/>
        </w:rPr>
        <w:t>ec. 121(b)(2)). Such programs may also include programs providing</w:t>
      </w:r>
      <w:r>
        <w:rPr>
          <w:spacing w:val="-3"/>
          <w:sz w:val="24"/>
        </w:rPr>
        <w:t xml:space="preserve"> </w:t>
      </w:r>
      <w:r>
        <w:rPr>
          <w:sz w:val="24"/>
        </w:rPr>
        <w:t>transportation assistance and</w:t>
      </w:r>
      <w:r>
        <w:rPr>
          <w:spacing w:val="-1"/>
          <w:sz w:val="24"/>
        </w:rPr>
        <w:t xml:space="preserve"> </w:t>
      </w:r>
      <w:r>
        <w:rPr>
          <w:sz w:val="24"/>
        </w:rPr>
        <w:t>services for</w:t>
      </w:r>
      <w:r>
        <w:rPr>
          <w:spacing w:val="-2"/>
          <w:sz w:val="24"/>
        </w:rPr>
        <w:t xml:space="preserve"> </w:t>
      </w:r>
      <w:r>
        <w:rPr>
          <w:sz w:val="24"/>
        </w:rPr>
        <w:t>those</w:t>
      </w:r>
      <w:r>
        <w:rPr>
          <w:spacing w:val="-2"/>
          <w:sz w:val="24"/>
        </w:rPr>
        <w:t xml:space="preserve"> </w:t>
      </w:r>
      <w:r>
        <w:rPr>
          <w:sz w:val="24"/>
        </w:rPr>
        <w:t>with</w:t>
      </w:r>
      <w:r>
        <w:rPr>
          <w:spacing w:val="-1"/>
          <w:sz w:val="24"/>
        </w:rPr>
        <w:t xml:space="preserve"> </w:t>
      </w:r>
      <w:r>
        <w:rPr>
          <w:sz w:val="24"/>
        </w:rPr>
        <w:t>substance abuse</w:t>
      </w:r>
      <w:r>
        <w:rPr>
          <w:spacing w:val="-2"/>
          <w:sz w:val="24"/>
        </w:rPr>
        <w:t xml:space="preserve"> </w:t>
      </w:r>
      <w:r>
        <w:rPr>
          <w:sz w:val="24"/>
        </w:rPr>
        <w:t>or</w:t>
      </w:r>
      <w:r>
        <w:rPr>
          <w:spacing w:val="-2"/>
          <w:sz w:val="24"/>
        </w:rPr>
        <w:t xml:space="preserve"> </w:t>
      </w:r>
      <w:r>
        <w:rPr>
          <w:sz w:val="24"/>
        </w:rPr>
        <w:t>mental health issues.</w:t>
      </w:r>
    </w:p>
    <w:p w14:paraId="365A9661" w14:textId="77777777" w:rsidR="00E41A5B" w:rsidRDefault="00DA7B02">
      <w:pPr>
        <w:pStyle w:val="BodyText"/>
        <w:spacing w:before="261"/>
        <w:ind w:left="1299" w:right="1358"/>
      </w:pPr>
      <w:r>
        <w:t xml:space="preserve">The LWDBs and CEOs have discretion to take the actions necessary to encourage the additional partners to contribute their proportionate share of infrastructure costs. This discretion does not include the ability to subject the additional partners to the </w:t>
      </w:r>
      <w:proofErr w:type="gramStart"/>
      <w:r>
        <w:t>SFM</w:t>
      </w:r>
      <w:proofErr w:type="gramEnd"/>
      <w:r>
        <w:t xml:space="preserve"> nor can additional partners</w:t>
      </w:r>
      <w:r>
        <w:rPr>
          <w:spacing w:val="40"/>
        </w:rPr>
        <w:t xml:space="preserve"> </w:t>
      </w:r>
      <w:r>
        <w:t>trigger the SFM, as described later in this guidance.</w:t>
      </w:r>
    </w:p>
    <w:p w14:paraId="365A9662" w14:textId="77777777" w:rsidR="00E41A5B" w:rsidRDefault="00E41A5B">
      <w:pPr>
        <w:pStyle w:val="BodyText"/>
        <w:spacing w:before="16"/>
        <w:jc w:val="left"/>
      </w:pPr>
    </w:p>
    <w:p w14:paraId="365A9665" w14:textId="64EF55C9" w:rsidR="00E41A5B" w:rsidRDefault="00DA7B02" w:rsidP="009148E4">
      <w:pPr>
        <w:pStyle w:val="BodyText"/>
        <w:spacing w:before="1"/>
        <w:ind w:left="1299" w:right="1354"/>
      </w:pPr>
      <w:r>
        <w:t xml:space="preserve">The Departments strongly encourage Registered Apprenticeship programs to participate as additional one-stop partners. The mutual benefits include coordination in the provision of comprehensive services to participants and the potential enhancement of outreach and follow-up </w:t>
      </w:r>
      <w:r>
        <w:lastRenderedPageBreak/>
        <w:t>activities. WIOA requires that Registered Apprenticeship programs are to have a representative on</w:t>
      </w:r>
      <w:r>
        <w:rPr>
          <w:spacing w:val="65"/>
        </w:rPr>
        <w:t xml:space="preserve"> </w:t>
      </w:r>
      <w:r>
        <w:t>the</w:t>
      </w:r>
      <w:r>
        <w:rPr>
          <w:spacing w:val="69"/>
        </w:rPr>
        <w:t xml:space="preserve"> </w:t>
      </w:r>
      <w:proofErr w:type="gramStart"/>
      <w:r>
        <w:t>LWDB,</w:t>
      </w:r>
      <w:r>
        <w:rPr>
          <w:spacing w:val="71"/>
        </w:rPr>
        <w:t xml:space="preserve"> </w:t>
      </w:r>
      <w:r>
        <w:t>and</w:t>
      </w:r>
      <w:proofErr w:type="gramEnd"/>
      <w:r>
        <w:rPr>
          <w:spacing w:val="70"/>
        </w:rPr>
        <w:t xml:space="preserve"> </w:t>
      </w:r>
      <w:r>
        <w:t>also</w:t>
      </w:r>
      <w:r>
        <w:rPr>
          <w:spacing w:val="68"/>
        </w:rPr>
        <w:t xml:space="preserve"> </w:t>
      </w:r>
      <w:r>
        <w:t>states</w:t>
      </w:r>
      <w:r>
        <w:rPr>
          <w:spacing w:val="67"/>
        </w:rPr>
        <w:t xml:space="preserve"> </w:t>
      </w:r>
      <w:r>
        <w:t>that</w:t>
      </w:r>
      <w:r>
        <w:rPr>
          <w:spacing w:val="69"/>
        </w:rPr>
        <w:t xml:space="preserve"> </w:t>
      </w:r>
      <w:r>
        <w:t>Registered</w:t>
      </w:r>
      <w:r>
        <w:rPr>
          <w:spacing w:val="70"/>
        </w:rPr>
        <w:t xml:space="preserve"> </w:t>
      </w:r>
      <w:r>
        <w:t>Apprenticeship</w:t>
      </w:r>
      <w:r>
        <w:rPr>
          <w:spacing w:val="68"/>
        </w:rPr>
        <w:t xml:space="preserve"> </w:t>
      </w:r>
      <w:r>
        <w:t>programs</w:t>
      </w:r>
      <w:r>
        <w:rPr>
          <w:spacing w:val="67"/>
        </w:rPr>
        <w:t xml:space="preserve"> </w:t>
      </w:r>
      <w:r>
        <w:t>are</w:t>
      </w:r>
      <w:r>
        <w:rPr>
          <w:spacing w:val="70"/>
        </w:rPr>
        <w:t xml:space="preserve"> </w:t>
      </w:r>
      <w:r>
        <w:rPr>
          <w:spacing w:val="-2"/>
        </w:rPr>
        <w:t>automatically</w:t>
      </w:r>
      <w:r w:rsidR="009148E4">
        <w:rPr>
          <w:spacing w:val="-2"/>
        </w:rPr>
        <w:t xml:space="preserve"> </w:t>
      </w:r>
      <w:r>
        <w:t>e</w:t>
      </w:r>
      <w:r>
        <w:t>ligible to provide training services. These connections would be significantly strengthened through such programs serving as one-stop partners and otherwise working with the one-stop delivery system.</w:t>
      </w:r>
    </w:p>
    <w:p w14:paraId="365A9666" w14:textId="77777777" w:rsidR="00E41A5B" w:rsidRDefault="00E41A5B">
      <w:pPr>
        <w:pStyle w:val="BodyText"/>
        <w:spacing w:before="4"/>
        <w:jc w:val="left"/>
      </w:pPr>
    </w:p>
    <w:p w14:paraId="365A9667" w14:textId="395B468A" w:rsidR="00E41A5B" w:rsidRDefault="00DA7B02">
      <w:pPr>
        <w:pStyle w:val="BodyText"/>
        <w:spacing w:before="1"/>
        <w:ind w:left="1300" w:right="1356"/>
      </w:pPr>
      <w:r>
        <w:rPr>
          <w:b/>
        </w:rPr>
        <w:t>Special Rules.</w:t>
      </w:r>
      <w:r>
        <w:rPr>
          <w:b/>
          <w:spacing w:val="40"/>
        </w:rPr>
        <w:t xml:space="preserve"> </w:t>
      </w:r>
      <w:r>
        <w:t>As required one-stop partners, Native American programs (described in WIOA sec. 166) are strongly encouraged to contribute to infrastructure costs, but they are not required</w:t>
      </w:r>
      <w:r>
        <w:rPr>
          <w:spacing w:val="40"/>
        </w:rPr>
        <w:t xml:space="preserve"> </w:t>
      </w:r>
      <w:r>
        <w:t xml:space="preserve">to make such contributions under WIOA. Any agreement regarding the contribution or non- contribution to infrastructure costs by Native American programs must be documented in the MOU (WIOA </w:t>
      </w:r>
      <w:r w:rsidR="009148E4">
        <w:t>S</w:t>
      </w:r>
      <w:r>
        <w:t>ec. 121(h)(2)(D)(iv); see also 81 FR 55911-55912 of the preamble to the Joint WIOA Final Rule). Further, these contributions must be based on the programs’ proportionate use and relative benefits received, consistent with the Uniform Guidance. The lack of agreement on infrastructure costs with Native American programs does not trigger the SFM for the local area, and the Native American programs are not subject to the SFM in the event it is triggered.</w:t>
      </w:r>
    </w:p>
    <w:p w14:paraId="365A9668" w14:textId="77777777" w:rsidR="00E41A5B" w:rsidRDefault="00E41A5B">
      <w:pPr>
        <w:pStyle w:val="BodyText"/>
        <w:jc w:val="left"/>
      </w:pPr>
    </w:p>
    <w:p w14:paraId="365A966A" w14:textId="2B55AA42" w:rsidR="00E41A5B" w:rsidRDefault="00DA7B02" w:rsidP="009148E4">
      <w:pPr>
        <w:pStyle w:val="BodyText"/>
        <w:ind w:left="1300" w:right="1356"/>
      </w:pPr>
      <w:r>
        <w:t xml:space="preserve">The Governor may determine that TANF will not be a required partner in the State, or within some specific local areas in the State. In this instance, the Governor must notify the Secretary of Labor and Secretary of Health and Human Services in writing of this determination (WIOA </w:t>
      </w:r>
      <w:r w:rsidR="009148E4">
        <w:t>S</w:t>
      </w:r>
      <w:r>
        <w:t>ec. 121(b)(1)(C)</w:t>
      </w:r>
      <w:r>
        <w:rPr>
          <w:spacing w:val="19"/>
        </w:rPr>
        <w:t xml:space="preserve"> </w:t>
      </w:r>
      <w:r>
        <w:t>and</w:t>
      </w:r>
      <w:r>
        <w:rPr>
          <w:spacing w:val="22"/>
        </w:rPr>
        <w:t xml:space="preserve"> </w:t>
      </w:r>
      <w:r>
        <w:t>20</w:t>
      </w:r>
      <w:r>
        <w:rPr>
          <w:spacing w:val="22"/>
        </w:rPr>
        <w:t xml:space="preserve"> </w:t>
      </w:r>
      <w:r>
        <w:t>CFR</w:t>
      </w:r>
      <w:r>
        <w:rPr>
          <w:spacing w:val="23"/>
        </w:rPr>
        <w:t xml:space="preserve"> </w:t>
      </w:r>
      <w:r w:rsidR="009148E4">
        <w:t>§§</w:t>
      </w:r>
      <w:r w:rsidR="009148E4">
        <w:t xml:space="preserve"> </w:t>
      </w:r>
      <w:r>
        <w:t>678.405,</w:t>
      </w:r>
      <w:r>
        <w:rPr>
          <w:spacing w:val="22"/>
        </w:rPr>
        <w:t xml:space="preserve"> </w:t>
      </w:r>
      <w:r>
        <w:t>34</w:t>
      </w:r>
      <w:r>
        <w:rPr>
          <w:spacing w:val="19"/>
        </w:rPr>
        <w:t xml:space="preserve"> </w:t>
      </w:r>
      <w:r>
        <w:t>CFR</w:t>
      </w:r>
      <w:r>
        <w:rPr>
          <w:spacing w:val="22"/>
        </w:rPr>
        <w:t xml:space="preserve"> </w:t>
      </w:r>
      <w:r>
        <w:t>361.405,</w:t>
      </w:r>
      <w:r>
        <w:rPr>
          <w:spacing w:val="23"/>
        </w:rPr>
        <w:t xml:space="preserve"> </w:t>
      </w:r>
      <w:r>
        <w:t>and</w:t>
      </w:r>
      <w:r>
        <w:rPr>
          <w:spacing w:val="22"/>
        </w:rPr>
        <w:t xml:space="preserve"> </w:t>
      </w:r>
      <w:r>
        <w:t>34</w:t>
      </w:r>
      <w:r>
        <w:rPr>
          <w:spacing w:val="22"/>
        </w:rPr>
        <w:t xml:space="preserve"> </w:t>
      </w:r>
      <w:r>
        <w:t>CFR</w:t>
      </w:r>
      <w:r>
        <w:rPr>
          <w:spacing w:val="22"/>
        </w:rPr>
        <w:t xml:space="preserve"> </w:t>
      </w:r>
      <w:r>
        <w:t>463.405).</w:t>
      </w:r>
      <w:r>
        <w:rPr>
          <w:spacing w:val="25"/>
        </w:rPr>
        <w:t xml:space="preserve"> </w:t>
      </w:r>
      <w:r>
        <w:t>In</w:t>
      </w:r>
      <w:r>
        <w:rPr>
          <w:spacing w:val="22"/>
        </w:rPr>
        <w:t xml:space="preserve"> </w:t>
      </w:r>
      <w:r>
        <w:t>States,</w:t>
      </w:r>
      <w:r>
        <w:rPr>
          <w:spacing w:val="22"/>
        </w:rPr>
        <w:t xml:space="preserve"> </w:t>
      </w:r>
      <w:r>
        <w:t>or</w:t>
      </w:r>
      <w:r>
        <w:rPr>
          <w:spacing w:val="22"/>
        </w:rPr>
        <w:t xml:space="preserve"> </w:t>
      </w:r>
      <w:r>
        <w:rPr>
          <w:spacing w:val="-2"/>
        </w:rPr>
        <w:t>local</w:t>
      </w:r>
      <w:r w:rsidR="009148E4">
        <w:t xml:space="preserve"> </w:t>
      </w:r>
      <w:r>
        <w:t>areas within a State, where the Governor has determined that TANF is not required to be a partner, local TANF programs may still work in collaboration or partnership with the local one- stop centers to deliver employment and training services to the TANF population, unless inconsistent with the Governor’s direction. In these situations, TANF may be considered an additional partner for purposes of contributing to the costs of operating the one-stop system.</w:t>
      </w:r>
    </w:p>
    <w:p w14:paraId="365A966B" w14:textId="77777777" w:rsidR="00E41A5B" w:rsidRDefault="00E41A5B">
      <w:pPr>
        <w:pStyle w:val="BodyText"/>
        <w:spacing w:before="5"/>
        <w:jc w:val="left"/>
      </w:pPr>
    </w:p>
    <w:p w14:paraId="365A966C" w14:textId="6630ECC2" w:rsidR="00E41A5B" w:rsidRDefault="00DA7B02">
      <w:pPr>
        <w:pStyle w:val="BodyText"/>
        <w:ind w:left="1300" w:right="1356"/>
      </w:pPr>
      <w:r>
        <w:rPr>
          <w:b/>
        </w:rPr>
        <w:t xml:space="preserve">Partner Programs with Multiple Grant Recipients. </w:t>
      </w:r>
      <w:r>
        <w:t>Partner programs and additional partners that carry out a program in the local area are required to share infrastructure costs and certain additional</w:t>
      </w:r>
      <w:r>
        <w:rPr>
          <w:spacing w:val="-1"/>
        </w:rPr>
        <w:t xml:space="preserve"> </w:t>
      </w:r>
      <w:r>
        <w:t>costs</w:t>
      </w:r>
      <w:r>
        <w:rPr>
          <w:spacing w:val="-1"/>
        </w:rPr>
        <w:t xml:space="preserve"> </w:t>
      </w:r>
      <w:r>
        <w:t>(20</w:t>
      </w:r>
      <w:r>
        <w:rPr>
          <w:spacing w:val="-1"/>
        </w:rPr>
        <w:t xml:space="preserve"> </w:t>
      </w:r>
      <w:r>
        <w:t xml:space="preserve">CFR </w:t>
      </w:r>
      <w:r w:rsidR="009148E4">
        <w:t>§</w:t>
      </w:r>
      <w:r w:rsidR="009148E4">
        <w:t xml:space="preserve"> </w:t>
      </w:r>
      <w:r>
        <w:t>678.700(c),</w:t>
      </w:r>
      <w:r>
        <w:rPr>
          <w:spacing w:val="-1"/>
        </w:rPr>
        <w:t xml:space="preserve"> </w:t>
      </w:r>
      <w:r>
        <w:t xml:space="preserve">34 CFR </w:t>
      </w:r>
      <w:r w:rsidR="009148E4">
        <w:t>§</w:t>
      </w:r>
      <w:r w:rsidR="009148E4">
        <w:t xml:space="preserve"> </w:t>
      </w:r>
      <w:r>
        <w:t>361.700(c), and</w:t>
      </w:r>
      <w:r>
        <w:rPr>
          <w:spacing w:val="-1"/>
        </w:rPr>
        <w:t xml:space="preserve"> </w:t>
      </w:r>
      <w:r>
        <w:t>34</w:t>
      </w:r>
      <w:r>
        <w:rPr>
          <w:spacing w:val="-1"/>
        </w:rPr>
        <w:t xml:space="preserve"> </w:t>
      </w:r>
      <w:r>
        <w:t xml:space="preserve">CFR </w:t>
      </w:r>
      <w:r w:rsidR="009148E4">
        <w:t>§</w:t>
      </w:r>
      <w:r w:rsidR="009148E4">
        <w:t xml:space="preserve"> </w:t>
      </w:r>
      <w:r>
        <w:t>463.700(c)). When</w:t>
      </w:r>
      <w:r>
        <w:rPr>
          <w:spacing w:val="-1"/>
        </w:rPr>
        <w:t xml:space="preserve"> </w:t>
      </w:r>
      <w:r>
        <w:t>two</w:t>
      </w:r>
      <w:r>
        <w:rPr>
          <w:spacing w:val="-1"/>
        </w:rPr>
        <w:t xml:space="preserve"> </w:t>
      </w:r>
      <w:r>
        <w:t>or more grant recipients or contractors of a required partner program carry out a program in a local area, these entities are considered one-stop partners and must reach out to the LWDB and carry out the roles and responsibilities of one-stop partners, including negotiating their share of infrastructure costs. For instance, there may be multiple YouthBuild and SCSEP grant recipients along with a few Job Corps contractors in a local area. In this situation, each grant or contract recipient carrying out the p</w:t>
      </w:r>
      <w:r>
        <w:t>rogram in that local area must contribute towards infrastructure costs, and those contributions must be based on the proportionate use and relative benefits received by those partners from the one-stop centers.</w:t>
      </w:r>
    </w:p>
    <w:p w14:paraId="365A966D" w14:textId="77777777" w:rsidR="00E41A5B" w:rsidRDefault="00E41A5B">
      <w:pPr>
        <w:pStyle w:val="BodyText"/>
        <w:spacing w:before="17"/>
        <w:jc w:val="left"/>
      </w:pPr>
    </w:p>
    <w:p w14:paraId="365A966E" w14:textId="77777777" w:rsidR="00E41A5B" w:rsidRDefault="00DA7B02">
      <w:pPr>
        <w:pStyle w:val="ListParagraph"/>
        <w:numPr>
          <w:ilvl w:val="0"/>
          <w:numId w:val="22"/>
        </w:numPr>
        <w:tabs>
          <w:tab w:val="left" w:pos="1644"/>
        </w:tabs>
        <w:ind w:left="1299" w:right="1355" w:firstLine="0"/>
        <w:rPr>
          <w:sz w:val="24"/>
        </w:rPr>
      </w:pPr>
      <w:r>
        <w:rPr>
          <w:b/>
          <w:sz w:val="24"/>
          <w:u w:val="single"/>
        </w:rPr>
        <w:t>Funding Types and Sources</w:t>
      </w:r>
      <w:r>
        <w:rPr>
          <w:b/>
          <w:sz w:val="24"/>
        </w:rPr>
        <w:t>.</w:t>
      </w:r>
      <w:r>
        <w:rPr>
          <w:b/>
          <w:spacing w:val="40"/>
          <w:sz w:val="24"/>
        </w:rPr>
        <w:t xml:space="preserve"> </w:t>
      </w:r>
      <w:r>
        <w:rPr>
          <w:sz w:val="24"/>
        </w:rPr>
        <w:t>The permissible types of funds used for infrastructure costs and</w:t>
      </w:r>
      <w:r>
        <w:rPr>
          <w:spacing w:val="-2"/>
          <w:sz w:val="24"/>
        </w:rPr>
        <w:t xml:space="preserve"> </w:t>
      </w:r>
      <w:r>
        <w:rPr>
          <w:sz w:val="24"/>
        </w:rPr>
        <w:t>the</w:t>
      </w:r>
      <w:r>
        <w:rPr>
          <w:spacing w:val="-1"/>
          <w:sz w:val="24"/>
        </w:rPr>
        <w:t xml:space="preserve"> </w:t>
      </w:r>
      <w:r>
        <w:rPr>
          <w:sz w:val="24"/>
        </w:rPr>
        <w:t>additional</w:t>
      </w:r>
      <w:r>
        <w:rPr>
          <w:spacing w:val="-2"/>
          <w:sz w:val="24"/>
        </w:rPr>
        <w:t xml:space="preserve"> </w:t>
      </w:r>
      <w:r>
        <w:rPr>
          <w:sz w:val="24"/>
        </w:rPr>
        <w:t>costs</w:t>
      </w:r>
      <w:r>
        <w:rPr>
          <w:spacing w:val="-2"/>
          <w:sz w:val="24"/>
        </w:rPr>
        <w:t xml:space="preserve"> </w:t>
      </w:r>
      <w:r>
        <w:rPr>
          <w:sz w:val="24"/>
        </w:rPr>
        <w:t>of</w:t>
      </w:r>
      <w:r>
        <w:rPr>
          <w:spacing w:val="-3"/>
          <w:sz w:val="24"/>
        </w:rPr>
        <w:t xml:space="preserve"> </w:t>
      </w:r>
      <w:r>
        <w:rPr>
          <w:sz w:val="24"/>
        </w:rPr>
        <w:t>operating</w:t>
      </w:r>
      <w:r>
        <w:rPr>
          <w:spacing w:val="-2"/>
          <w:sz w:val="24"/>
        </w:rPr>
        <w:t xml:space="preserve"> </w:t>
      </w:r>
      <w:r>
        <w:rPr>
          <w:sz w:val="24"/>
        </w:rPr>
        <w:t>a</w:t>
      </w:r>
      <w:r>
        <w:rPr>
          <w:spacing w:val="-1"/>
          <w:sz w:val="24"/>
        </w:rPr>
        <w:t xml:space="preserve"> </w:t>
      </w:r>
      <w:r>
        <w:rPr>
          <w:sz w:val="24"/>
        </w:rPr>
        <w:t>local one-stop</w:t>
      </w:r>
      <w:r>
        <w:rPr>
          <w:spacing w:val="-2"/>
          <w:sz w:val="24"/>
        </w:rPr>
        <w:t xml:space="preserve"> </w:t>
      </w:r>
      <w:r>
        <w:rPr>
          <w:sz w:val="24"/>
        </w:rPr>
        <w:t>delivery</w:t>
      </w:r>
      <w:r>
        <w:rPr>
          <w:spacing w:val="-7"/>
          <w:sz w:val="24"/>
        </w:rPr>
        <w:t xml:space="preserve"> </w:t>
      </w:r>
      <w:r>
        <w:rPr>
          <w:sz w:val="24"/>
        </w:rPr>
        <w:t>system</w:t>
      </w:r>
      <w:r>
        <w:rPr>
          <w:spacing w:val="-2"/>
          <w:sz w:val="24"/>
        </w:rPr>
        <w:t xml:space="preserve"> </w:t>
      </w:r>
      <w:r>
        <w:rPr>
          <w:sz w:val="24"/>
        </w:rPr>
        <w:t>(i.e., a</w:t>
      </w:r>
      <w:r>
        <w:rPr>
          <w:spacing w:val="-3"/>
          <w:sz w:val="24"/>
        </w:rPr>
        <w:t xml:space="preserve"> </w:t>
      </w:r>
      <w:r>
        <w:rPr>
          <w:sz w:val="24"/>
        </w:rPr>
        <w:t>partner’s program</w:t>
      </w:r>
      <w:r>
        <w:rPr>
          <w:spacing w:val="-2"/>
          <w:sz w:val="24"/>
        </w:rPr>
        <w:t xml:space="preserve"> </w:t>
      </w:r>
      <w:r>
        <w:rPr>
          <w:sz w:val="24"/>
        </w:rPr>
        <w:t xml:space="preserve">or administrative funds) may differ depending upon the partner program’s authorizing law and implementing regulations. The funds that may be used also differ </w:t>
      </w:r>
      <w:proofErr w:type="gramStart"/>
      <w:r>
        <w:rPr>
          <w:sz w:val="24"/>
        </w:rPr>
        <w:t>based</w:t>
      </w:r>
      <w:proofErr w:type="gramEnd"/>
      <w:r>
        <w:rPr>
          <w:sz w:val="24"/>
        </w:rPr>
        <w:t xml:space="preserve"> on whether the amount that must be contributed by a partner for infrastructure costs is determined under the LFM or the SFM. The funding types and sources permissible for the one-stop partners are outlined in Attachment II: Paying for the One-Stop Delivery System.</w:t>
      </w:r>
    </w:p>
    <w:p w14:paraId="365A966F" w14:textId="77777777" w:rsidR="00E41A5B" w:rsidRDefault="00E41A5B">
      <w:pPr>
        <w:jc w:val="both"/>
        <w:rPr>
          <w:sz w:val="24"/>
        </w:rPr>
        <w:sectPr w:rsidR="00E41A5B">
          <w:footerReference w:type="default" r:id="rId7"/>
          <w:pgSz w:w="12240" w:h="15840"/>
          <w:pgMar w:top="1360" w:right="80" w:bottom="1540" w:left="140" w:header="0" w:footer="1345" w:gutter="0"/>
          <w:cols w:space="720"/>
        </w:sectPr>
      </w:pPr>
    </w:p>
    <w:p w14:paraId="365A9670" w14:textId="381637B1" w:rsidR="00E41A5B" w:rsidRDefault="00DA7B02">
      <w:pPr>
        <w:pStyle w:val="BodyText"/>
        <w:spacing w:before="72"/>
        <w:ind w:left="1571" w:right="1353"/>
      </w:pPr>
      <w:r>
        <w:rPr>
          <w:b/>
        </w:rPr>
        <w:lastRenderedPageBreak/>
        <w:t>Types.</w:t>
      </w:r>
      <w:r>
        <w:rPr>
          <w:b/>
          <w:spacing w:val="40"/>
        </w:rPr>
        <w:t xml:space="preserve"> </w:t>
      </w:r>
      <w:r>
        <w:t xml:space="preserve">Funding for infrastructure costs and additional costs, such as shared costs and shared services, may be in the form of: (1) cash, non-cash, and third-party in-kind contributions; (2) funding from philanthropic organizations or other private entities; or (3) other alternative financing options, as described in WIOA </w:t>
      </w:r>
      <w:r w:rsidR="009148E4">
        <w:t>S</w:t>
      </w:r>
      <w:r>
        <w:t xml:space="preserve">ec. 121(c)(2)(A)(ii) and 20 CFR </w:t>
      </w:r>
      <w:r w:rsidR="009148E4">
        <w:t>§§</w:t>
      </w:r>
      <w:r w:rsidR="009148E4">
        <w:t xml:space="preserve"> </w:t>
      </w:r>
      <w:r>
        <w:t>678.715, 34 CFR 361.715, and 34 CFR 463.715. Some partner programs may have statutory or regulatory prohibitions against using certain types of these contributions or on how the program may</w:t>
      </w:r>
      <w:r>
        <w:rPr>
          <w:spacing w:val="40"/>
        </w:rPr>
        <w:t xml:space="preserve"> </w:t>
      </w:r>
      <w:r>
        <w:t xml:space="preserve">treat these contributions for fiscal accountability purposes under the respective program’s requirements. For example, pursuant to 34 CFR </w:t>
      </w:r>
      <w:r w:rsidR="009148E4">
        <w:t>§</w:t>
      </w:r>
      <w:r w:rsidR="009148E4">
        <w:t xml:space="preserve"> </w:t>
      </w:r>
      <w:r>
        <w:t>361.60(b)(2), a VR agency</w:t>
      </w:r>
      <w:r>
        <w:rPr>
          <w:spacing w:val="-2"/>
        </w:rPr>
        <w:t xml:space="preserve"> </w:t>
      </w:r>
      <w:r>
        <w:t>may</w:t>
      </w:r>
      <w:r>
        <w:rPr>
          <w:spacing w:val="-5"/>
        </w:rPr>
        <w:t xml:space="preserve"> </w:t>
      </w:r>
      <w:r>
        <w:t xml:space="preserve">not use third- party in-kind contributions for match purposes under the VR program. However, there is nothing in 34 CFR </w:t>
      </w:r>
      <w:r w:rsidR="009148E4">
        <w:t>§</w:t>
      </w:r>
      <w:r w:rsidR="009148E4">
        <w:t xml:space="preserve"> </w:t>
      </w:r>
      <w:r>
        <w:t>361.60 that prohibits a VR agency from using third-party in-kind contributions to pay for its share of the one-stop operating costs, including infrastructure</w:t>
      </w:r>
      <w:r>
        <w:rPr>
          <w:spacing w:val="80"/>
        </w:rPr>
        <w:t xml:space="preserve"> </w:t>
      </w:r>
      <w:r>
        <w:rPr>
          <w:spacing w:val="-2"/>
        </w:rPr>
        <w:t>costs.</w:t>
      </w:r>
    </w:p>
    <w:p w14:paraId="365A9671" w14:textId="77777777" w:rsidR="00E41A5B" w:rsidRDefault="00DA7B02">
      <w:pPr>
        <w:pStyle w:val="BodyText"/>
        <w:spacing w:before="264"/>
        <w:ind w:left="1571" w:right="1356"/>
      </w:pPr>
      <w:r>
        <w:rPr>
          <w:b/>
        </w:rPr>
        <w:t xml:space="preserve">Sources. </w:t>
      </w:r>
      <w:r>
        <w:t>The source of funds that may be used to pay for infrastructure costs depends on the requirements regarding the use of funds under the law authorizing the partner program that is contributing the funding. The infrastructure funding may be from funds classified as administrative,</w:t>
      </w:r>
      <w:r>
        <w:rPr>
          <w:spacing w:val="-4"/>
        </w:rPr>
        <w:t xml:space="preserve"> </w:t>
      </w:r>
      <w:r>
        <w:t>program,</w:t>
      </w:r>
      <w:r>
        <w:rPr>
          <w:spacing w:val="-2"/>
        </w:rPr>
        <w:t xml:space="preserve"> </w:t>
      </w:r>
      <w:r>
        <w:t>or</w:t>
      </w:r>
      <w:r>
        <w:rPr>
          <w:spacing w:val="-5"/>
        </w:rPr>
        <w:t xml:space="preserve"> </w:t>
      </w:r>
      <w:r>
        <w:t>both,</w:t>
      </w:r>
      <w:r>
        <w:rPr>
          <w:spacing w:val="-4"/>
        </w:rPr>
        <w:t xml:space="preserve"> </w:t>
      </w:r>
      <w:r>
        <w:t>depending</w:t>
      </w:r>
      <w:r>
        <w:rPr>
          <w:spacing w:val="-6"/>
        </w:rPr>
        <w:t xml:space="preserve"> </w:t>
      </w:r>
      <w:r>
        <w:t>on</w:t>
      </w:r>
      <w:r>
        <w:rPr>
          <w:spacing w:val="-2"/>
        </w:rPr>
        <w:t xml:space="preserve"> </w:t>
      </w:r>
      <w:r>
        <w:t>the</w:t>
      </w:r>
      <w:r>
        <w:rPr>
          <w:spacing w:val="-5"/>
        </w:rPr>
        <w:t xml:space="preserve"> </w:t>
      </w:r>
      <w:r>
        <w:t>partner</w:t>
      </w:r>
      <w:r>
        <w:rPr>
          <w:spacing w:val="-5"/>
        </w:rPr>
        <w:t xml:space="preserve"> </w:t>
      </w:r>
      <w:r>
        <w:t>program’s</w:t>
      </w:r>
      <w:r>
        <w:rPr>
          <w:spacing w:val="-2"/>
        </w:rPr>
        <w:t xml:space="preserve"> </w:t>
      </w:r>
      <w:r>
        <w:t>requirements.</w:t>
      </w:r>
      <w:r>
        <w:rPr>
          <w:spacing w:val="-2"/>
        </w:rPr>
        <w:t xml:space="preserve"> </w:t>
      </w:r>
      <w:r>
        <w:t>Below</w:t>
      </w:r>
      <w:r>
        <w:rPr>
          <w:spacing w:val="-3"/>
        </w:rPr>
        <w:t xml:space="preserve"> </w:t>
      </w:r>
      <w:r>
        <w:t xml:space="preserve">are the one-stop partners and the source of funds expected to be used. The partner programs required to </w:t>
      </w:r>
      <w:proofErr w:type="gramStart"/>
      <w:r>
        <w:t>make a contribution</w:t>
      </w:r>
      <w:proofErr w:type="gramEnd"/>
      <w:r>
        <w:t xml:space="preserve"> towards infrastructure costs and the applicable funding</w:t>
      </w:r>
      <w:r>
        <w:rPr>
          <w:spacing w:val="40"/>
        </w:rPr>
        <w:t xml:space="preserve"> </w:t>
      </w:r>
      <w:r>
        <w:t>sources are illustrated in Attachment III: Infrastructure Costs: Funding Sources.</w:t>
      </w:r>
    </w:p>
    <w:p w14:paraId="365A9672" w14:textId="77777777" w:rsidR="00E41A5B" w:rsidRDefault="00E41A5B">
      <w:pPr>
        <w:pStyle w:val="BodyText"/>
        <w:spacing w:before="12"/>
        <w:jc w:val="left"/>
      </w:pPr>
    </w:p>
    <w:p w14:paraId="365A9673" w14:textId="77777777" w:rsidR="00E41A5B" w:rsidRDefault="00DA7B02">
      <w:pPr>
        <w:spacing w:line="262" w:lineRule="exact"/>
        <w:ind w:left="1571"/>
        <w:jc w:val="both"/>
        <w:rPr>
          <w:b/>
          <w:sz w:val="23"/>
        </w:rPr>
      </w:pPr>
      <w:r>
        <w:rPr>
          <w:b/>
          <w:sz w:val="23"/>
        </w:rPr>
        <w:t>Local</w:t>
      </w:r>
      <w:r>
        <w:rPr>
          <w:b/>
          <w:spacing w:val="-5"/>
          <w:sz w:val="23"/>
        </w:rPr>
        <w:t xml:space="preserve"> </w:t>
      </w:r>
      <w:r>
        <w:rPr>
          <w:b/>
          <w:sz w:val="23"/>
        </w:rPr>
        <w:t>and</w:t>
      </w:r>
      <w:r>
        <w:rPr>
          <w:b/>
          <w:spacing w:val="-3"/>
          <w:sz w:val="23"/>
        </w:rPr>
        <w:t xml:space="preserve"> </w:t>
      </w:r>
      <w:r>
        <w:rPr>
          <w:b/>
          <w:sz w:val="23"/>
        </w:rPr>
        <w:t>State</w:t>
      </w:r>
      <w:r>
        <w:rPr>
          <w:b/>
          <w:spacing w:val="-3"/>
          <w:sz w:val="23"/>
        </w:rPr>
        <w:t xml:space="preserve"> </w:t>
      </w:r>
      <w:r>
        <w:rPr>
          <w:b/>
          <w:sz w:val="23"/>
        </w:rPr>
        <w:t>Funding</w:t>
      </w:r>
      <w:r>
        <w:rPr>
          <w:b/>
          <w:spacing w:val="-2"/>
          <w:sz w:val="23"/>
        </w:rPr>
        <w:t xml:space="preserve"> </w:t>
      </w:r>
      <w:r>
        <w:rPr>
          <w:b/>
          <w:sz w:val="23"/>
        </w:rPr>
        <w:t>Mechanisms</w:t>
      </w:r>
      <w:r>
        <w:rPr>
          <w:b/>
          <w:spacing w:val="-3"/>
          <w:sz w:val="23"/>
        </w:rPr>
        <w:t xml:space="preserve"> </w:t>
      </w:r>
      <w:r>
        <w:rPr>
          <w:b/>
          <w:sz w:val="23"/>
        </w:rPr>
        <w:t>–</w:t>
      </w:r>
      <w:r>
        <w:rPr>
          <w:b/>
          <w:spacing w:val="-3"/>
          <w:sz w:val="23"/>
        </w:rPr>
        <w:t xml:space="preserve"> </w:t>
      </w:r>
      <w:r>
        <w:rPr>
          <w:b/>
          <w:sz w:val="23"/>
        </w:rPr>
        <w:t>Types</w:t>
      </w:r>
      <w:r>
        <w:rPr>
          <w:b/>
          <w:spacing w:val="-2"/>
          <w:sz w:val="23"/>
        </w:rPr>
        <w:t xml:space="preserve"> </w:t>
      </w:r>
      <w:r>
        <w:rPr>
          <w:b/>
          <w:sz w:val="23"/>
        </w:rPr>
        <w:t>and</w:t>
      </w:r>
      <w:r>
        <w:rPr>
          <w:b/>
          <w:spacing w:val="-3"/>
          <w:sz w:val="23"/>
        </w:rPr>
        <w:t xml:space="preserve"> </w:t>
      </w:r>
      <w:r>
        <w:rPr>
          <w:b/>
          <w:spacing w:val="-2"/>
          <w:sz w:val="23"/>
        </w:rPr>
        <w:t>Sources</w:t>
      </w:r>
    </w:p>
    <w:p w14:paraId="365A9674" w14:textId="4D9C90F1" w:rsidR="00E41A5B" w:rsidRDefault="00DA7B02">
      <w:pPr>
        <w:spacing w:line="262" w:lineRule="exact"/>
        <w:ind w:left="1571"/>
        <w:jc w:val="both"/>
        <w:rPr>
          <w:sz w:val="23"/>
        </w:rPr>
      </w:pPr>
      <w:r>
        <w:rPr>
          <w:sz w:val="23"/>
        </w:rPr>
        <w:t>(20</w:t>
      </w:r>
      <w:r>
        <w:rPr>
          <w:spacing w:val="-2"/>
          <w:sz w:val="23"/>
        </w:rPr>
        <w:t xml:space="preserve"> </w:t>
      </w:r>
      <w:r>
        <w:rPr>
          <w:sz w:val="23"/>
        </w:rPr>
        <w:t>CFR</w:t>
      </w:r>
      <w:r>
        <w:rPr>
          <w:spacing w:val="-1"/>
          <w:sz w:val="23"/>
        </w:rPr>
        <w:t xml:space="preserve"> </w:t>
      </w:r>
      <w:r w:rsidR="009148E4">
        <w:t>§§</w:t>
      </w:r>
      <w:r w:rsidR="009148E4">
        <w:t xml:space="preserve"> </w:t>
      </w:r>
      <w:r>
        <w:rPr>
          <w:sz w:val="23"/>
        </w:rPr>
        <w:t>678.720</w:t>
      </w:r>
      <w:r>
        <w:rPr>
          <w:spacing w:val="-1"/>
          <w:sz w:val="23"/>
        </w:rPr>
        <w:t xml:space="preserve"> </w:t>
      </w:r>
      <w:r>
        <w:rPr>
          <w:sz w:val="23"/>
        </w:rPr>
        <w:t>and</w:t>
      </w:r>
      <w:r>
        <w:rPr>
          <w:spacing w:val="-1"/>
          <w:sz w:val="23"/>
        </w:rPr>
        <w:t xml:space="preserve"> </w:t>
      </w:r>
      <w:r>
        <w:rPr>
          <w:sz w:val="23"/>
        </w:rPr>
        <w:t>678.740;</w:t>
      </w:r>
      <w:r>
        <w:rPr>
          <w:spacing w:val="-2"/>
          <w:sz w:val="23"/>
        </w:rPr>
        <w:t xml:space="preserve"> </w:t>
      </w:r>
      <w:r>
        <w:rPr>
          <w:sz w:val="23"/>
        </w:rPr>
        <w:t>34</w:t>
      </w:r>
      <w:r>
        <w:rPr>
          <w:spacing w:val="-1"/>
          <w:sz w:val="23"/>
        </w:rPr>
        <w:t xml:space="preserve"> </w:t>
      </w:r>
      <w:r>
        <w:rPr>
          <w:sz w:val="23"/>
        </w:rPr>
        <w:t>CFR</w:t>
      </w:r>
      <w:r>
        <w:rPr>
          <w:spacing w:val="-1"/>
          <w:sz w:val="23"/>
        </w:rPr>
        <w:t xml:space="preserve"> </w:t>
      </w:r>
      <w:r>
        <w:rPr>
          <w:sz w:val="23"/>
        </w:rPr>
        <w:t>361.720</w:t>
      </w:r>
      <w:r>
        <w:rPr>
          <w:spacing w:val="-1"/>
          <w:sz w:val="23"/>
        </w:rPr>
        <w:t xml:space="preserve"> </w:t>
      </w:r>
      <w:r>
        <w:rPr>
          <w:sz w:val="23"/>
        </w:rPr>
        <w:t>and</w:t>
      </w:r>
      <w:r>
        <w:rPr>
          <w:spacing w:val="-4"/>
          <w:sz w:val="23"/>
        </w:rPr>
        <w:t xml:space="preserve"> </w:t>
      </w:r>
      <w:r>
        <w:rPr>
          <w:sz w:val="23"/>
        </w:rPr>
        <w:t>361.740;</w:t>
      </w:r>
      <w:r>
        <w:rPr>
          <w:spacing w:val="-1"/>
          <w:sz w:val="23"/>
        </w:rPr>
        <w:t xml:space="preserve"> </w:t>
      </w:r>
      <w:r>
        <w:rPr>
          <w:sz w:val="23"/>
        </w:rPr>
        <w:t>and</w:t>
      </w:r>
      <w:r>
        <w:rPr>
          <w:spacing w:val="-2"/>
          <w:sz w:val="23"/>
        </w:rPr>
        <w:t xml:space="preserve"> </w:t>
      </w:r>
      <w:r>
        <w:rPr>
          <w:sz w:val="23"/>
        </w:rPr>
        <w:t>34</w:t>
      </w:r>
      <w:r>
        <w:rPr>
          <w:spacing w:val="-1"/>
          <w:sz w:val="23"/>
        </w:rPr>
        <w:t xml:space="preserve"> </w:t>
      </w:r>
      <w:r>
        <w:rPr>
          <w:sz w:val="23"/>
        </w:rPr>
        <w:t>CFR</w:t>
      </w:r>
      <w:r>
        <w:rPr>
          <w:spacing w:val="-1"/>
          <w:sz w:val="23"/>
        </w:rPr>
        <w:t xml:space="preserve"> </w:t>
      </w:r>
      <w:r>
        <w:rPr>
          <w:sz w:val="23"/>
        </w:rPr>
        <w:t>463.720</w:t>
      </w:r>
      <w:r>
        <w:rPr>
          <w:spacing w:val="-1"/>
          <w:sz w:val="23"/>
        </w:rPr>
        <w:t xml:space="preserve"> </w:t>
      </w:r>
      <w:r>
        <w:rPr>
          <w:sz w:val="23"/>
        </w:rPr>
        <w:t>and</w:t>
      </w:r>
      <w:r>
        <w:rPr>
          <w:spacing w:val="-1"/>
          <w:sz w:val="23"/>
        </w:rPr>
        <w:t xml:space="preserve"> </w:t>
      </w:r>
      <w:r>
        <w:rPr>
          <w:spacing w:val="-2"/>
          <w:sz w:val="23"/>
        </w:rPr>
        <w:t>463.740)</w:t>
      </w:r>
    </w:p>
    <w:p w14:paraId="365A9675" w14:textId="77777777" w:rsidR="00E41A5B" w:rsidRDefault="00DA7B02">
      <w:pPr>
        <w:pStyle w:val="ListParagraph"/>
        <w:numPr>
          <w:ilvl w:val="1"/>
          <w:numId w:val="22"/>
        </w:numPr>
        <w:tabs>
          <w:tab w:val="left" w:pos="2291"/>
        </w:tabs>
        <w:spacing w:before="186" w:line="237" w:lineRule="auto"/>
        <w:ind w:right="1359"/>
        <w:rPr>
          <w:sz w:val="24"/>
        </w:rPr>
      </w:pPr>
      <w:r>
        <w:rPr>
          <w:sz w:val="24"/>
          <w:u w:val="single"/>
        </w:rPr>
        <w:t>WIOA title I programs, including the Adult, Dislocated Worker, and Youth programs;</w:t>
      </w:r>
      <w:r>
        <w:rPr>
          <w:sz w:val="24"/>
        </w:rPr>
        <w:t xml:space="preserve"> </w:t>
      </w:r>
      <w:r>
        <w:rPr>
          <w:sz w:val="24"/>
          <w:u w:val="single"/>
        </w:rPr>
        <w:t>Native American programs, YouthBuild, Job Corps programs, and MSFW programs</w:t>
      </w:r>
      <w:r>
        <w:rPr>
          <w:sz w:val="24"/>
        </w:rPr>
        <w:t xml:space="preserve"> – Program funds, administrative funds, or both may be used for LFM and SFM.</w:t>
      </w:r>
    </w:p>
    <w:p w14:paraId="365A9676" w14:textId="77777777" w:rsidR="00E41A5B" w:rsidRDefault="00DA7B02">
      <w:pPr>
        <w:pStyle w:val="ListParagraph"/>
        <w:numPr>
          <w:ilvl w:val="1"/>
          <w:numId w:val="22"/>
        </w:numPr>
        <w:tabs>
          <w:tab w:val="left" w:pos="2291"/>
        </w:tabs>
        <w:spacing w:before="8" w:line="237" w:lineRule="auto"/>
        <w:ind w:right="1357"/>
        <w:rPr>
          <w:sz w:val="24"/>
        </w:rPr>
      </w:pPr>
      <w:r>
        <w:rPr>
          <w:sz w:val="24"/>
          <w:u w:val="single"/>
        </w:rPr>
        <w:t>SCSEP, TAA programs, REO programs</w:t>
      </w:r>
      <w:r>
        <w:rPr>
          <w:sz w:val="24"/>
        </w:rPr>
        <w:t xml:space="preserve"> – Program funds, administrative funds, or</w:t>
      </w:r>
      <w:r>
        <w:rPr>
          <w:spacing w:val="40"/>
          <w:sz w:val="24"/>
        </w:rPr>
        <w:t xml:space="preserve"> </w:t>
      </w:r>
      <w:r>
        <w:rPr>
          <w:sz w:val="24"/>
        </w:rPr>
        <w:t>both may be used to pay for infrastructure costs under the LFM and SFM.</w:t>
      </w:r>
    </w:p>
    <w:p w14:paraId="365A9677" w14:textId="77777777" w:rsidR="00E41A5B" w:rsidRDefault="00DA7B02">
      <w:pPr>
        <w:pStyle w:val="ListParagraph"/>
        <w:numPr>
          <w:ilvl w:val="1"/>
          <w:numId w:val="22"/>
        </w:numPr>
        <w:tabs>
          <w:tab w:val="left" w:pos="2291"/>
        </w:tabs>
        <w:spacing w:before="2"/>
        <w:ind w:right="1356"/>
        <w:rPr>
          <w:sz w:val="24"/>
        </w:rPr>
      </w:pPr>
      <w:r>
        <w:rPr>
          <w:sz w:val="24"/>
          <w:u w:val="single"/>
        </w:rPr>
        <w:t>Wagner-Peyser Act ES, JVSG, and Unemployment Compensation programs</w:t>
      </w:r>
      <w:r>
        <w:rPr>
          <w:sz w:val="24"/>
        </w:rPr>
        <w:t xml:space="preserve"> – These programs do not distinguish between program and administrative funds. Therefore,</w:t>
      </w:r>
      <w:r>
        <w:rPr>
          <w:spacing w:val="40"/>
          <w:sz w:val="24"/>
        </w:rPr>
        <w:t xml:space="preserve"> </w:t>
      </w:r>
      <w:r>
        <w:rPr>
          <w:sz w:val="24"/>
        </w:rPr>
        <w:t>any</w:t>
      </w:r>
      <w:r>
        <w:rPr>
          <w:spacing w:val="-5"/>
          <w:sz w:val="24"/>
        </w:rPr>
        <w:t xml:space="preserve"> </w:t>
      </w:r>
      <w:r>
        <w:rPr>
          <w:sz w:val="24"/>
        </w:rPr>
        <w:t>of</w:t>
      </w:r>
      <w:r>
        <w:rPr>
          <w:spacing w:val="-1"/>
          <w:sz w:val="24"/>
        </w:rPr>
        <w:t xml:space="preserve"> </w:t>
      </w:r>
      <w:r>
        <w:rPr>
          <w:sz w:val="24"/>
        </w:rPr>
        <w:t>the</w:t>
      </w:r>
      <w:r>
        <w:rPr>
          <w:spacing w:val="-1"/>
          <w:sz w:val="24"/>
        </w:rPr>
        <w:t xml:space="preserve"> </w:t>
      </w:r>
      <w:r>
        <w:rPr>
          <w:sz w:val="24"/>
        </w:rPr>
        <w:t>funds allotted for</w:t>
      </w:r>
      <w:r>
        <w:rPr>
          <w:spacing w:val="-1"/>
          <w:sz w:val="24"/>
        </w:rPr>
        <w:t xml:space="preserve"> </w:t>
      </w:r>
      <w:r>
        <w:rPr>
          <w:sz w:val="24"/>
        </w:rPr>
        <w:t>these</w:t>
      </w:r>
      <w:r>
        <w:rPr>
          <w:spacing w:val="-1"/>
          <w:sz w:val="24"/>
        </w:rPr>
        <w:t xml:space="preserve"> </w:t>
      </w:r>
      <w:r>
        <w:rPr>
          <w:sz w:val="24"/>
        </w:rPr>
        <w:t>programs may</w:t>
      </w:r>
      <w:r>
        <w:rPr>
          <w:spacing w:val="-2"/>
          <w:sz w:val="24"/>
        </w:rPr>
        <w:t xml:space="preserve"> </w:t>
      </w:r>
      <w:r>
        <w:rPr>
          <w:sz w:val="24"/>
        </w:rPr>
        <w:t>be</w:t>
      </w:r>
      <w:r>
        <w:rPr>
          <w:spacing w:val="-1"/>
          <w:sz w:val="24"/>
        </w:rPr>
        <w:t xml:space="preserve"> </w:t>
      </w:r>
      <w:r>
        <w:rPr>
          <w:sz w:val="24"/>
        </w:rPr>
        <w:t>used to pay</w:t>
      </w:r>
      <w:r>
        <w:rPr>
          <w:spacing w:val="-5"/>
          <w:sz w:val="24"/>
        </w:rPr>
        <w:t xml:space="preserve"> </w:t>
      </w:r>
      <w:r>
        <w:rPr>
          <w:sz w:val="24"/>
        </w:rPr>
        <w:t>for</w:t>
      </w:r>
      <w:r>
        <w:rPr>
          <w:spacing w:val="-1"/>
          <w:sz w:val="24"/>
        </w:rPr>
        <w:t xml:space="preserve"> </w:t>
      </w:r>
      <w:r>
        <w:rPr>
          <w:sz w:val="24"/>
        </w:rPr>
        <w:t>infrastructure</w:t>
      </w:r>
      <w:r>
        <w:rPr>
          <w:spacing w:val="-1"/>
          <w:sz w:val="24"/>
        </w:rPr>
        <w:t xml:space="preserve"> </w:t>
      </w:r>
      <w:r>
        <w:rPr>
          <w:sz w:val="24"/>
        </w:rPr>
        <w:t>costs under the LFM and SFM.</w:t>
      </w:r>
    </w:p>
    <w:p w14:paraId="365A9678" w14:textId="38BB02C2" w:rsidR="00E41A5B" w:rsidRDefault="00DA7B02">
      <w:pPr>
        <w:pStyle w:val="ListParagraph"/>
        <w:numPr>
          <w:ilvl w:val="1"/>
          <w:numId w:val="22"/>
        </w:numPr>
        <w:tabs>
          <w:tab w:val="left" w:pos="2291"/>
        </w:tabs>
        <w:spacing w:before="3" w:line="237" w:lineRule="auto"/>
        <w:ind w:right="1358"/>
        <w:rPr>
          <w:sz w:val="24"/>
        </w:rPr>
      </w:pPr>
      <w:r>
        <w:rPr>
          <w:sz w:val="24"/>
          <w:u w:val="single"/>
        </w:rPr>
        <w:t>AEFLA</w:t>
      </w:r>
      <w:r>
        <w:rPr>
          <w:sz w:val="24"/>
        </w:rPr>
        <w:t xml:space="preserve"> – Infrastructure costs under the LFM and SFM are to be paid from Federal funds</w:t>
      </w:r>
      <w:r>
        <w:rPr>
          <w:spacing w:val="40"/>
          <w:sz w:val="24"/>
        </w:rPr>
        <w:t xml:space="preserve"> </w:t>
      </w:r>
      <w:r>
        <w:rPr>
          <w:sz w:val="24"/>
        </w:rPr>
        <w:t>made</w:t>
      </w:r>
      <w:r>
        <w:rPr>
          <w:spacing w:val="40"/>
          <w:sz w:val="24"/>
        </w:rPr>
        <w:t xml:space="preserve"> </w:t>
      </w:r>
      <w:r>
        <w:rPr>
          <w:sz w:val="24"/>
        </w:rPr>
        <w:t>available</w:t>
      </w:r>
      <w:r>
        <w:rPr>
          <w:spacing w:val="40"/>
          <w:sz w:val="24"/>
        </w:rPr>
        <w:t xml:space="preserve"> </w:t>
      </w:r>
      <w:r>
        <w:rPr>
          <w:sz w:val="24"/>
        </w:rPr>
        <w:t>for</w:t>
      </w:r>
      <w:r>
        <w:rPr>
          <w:spacing w:val="40"/>
          <w:sz w:val="24"/>
        </w:rPr>
        <w:t xml:space="preserve"> </w:t>
      </w:r>
      <w:r>
        <w:rPr>
          <w:sz w:val="24"/>
        </w:rPr>
        <w:t>local</w:t>
      </w:r>
      <w:r>
        <w:rPr>
          <w:spacing w:val="40"/>
          <w:sz w:val="24"/>
        </w:rPr>
        <w:t xml:space="preserve"> </w:t>
      </w:r>
      <w:r>
        <w:rPr>
          <w:sz w:val="24"/>
        </w:rPr>
        <w:t>administration</w:t>
      </w:r>
      <w:r>
        <w:rPr>
          <w:spacing w:val="40"/>
          <w:sz w:val="24"/>
        </w:rPr>
        <w:t xml:space="preserve"> </w:t>
      </w:r>
      <w:r>
        <w:rPr>
          <w:sz w:val="24"/>
        </w:rPr>
        <w:t>(WIOA</w:t>
      </w:r>
      <w:r>
        <w:rPr>
          <w:spacing w:val="40"/>
          <w:sz w:val="24"/>
        </w:rPr>
        <w:t xml:space="preserve"> </w:t>
      </w:r>
      <w:r w:rsidR="009148E4">
        <w:rPr>
          <w:sz w:val="24"/>
        </w:rPr>
        <w:t>S</w:t>
      </w:r>
      <w:r>
        <w:rPr>
          <w:sz w:val="24"/>
        </w:rPr>
        <w:t>ec.</w:t>
      </w:r>
      <w:r>
        <w:rPr>
          <w:spacing w:val="40"/>
          <w:sz w:val="24"/>
        </w:rPr>
        <w:t xml:space="preserve"> </w:t>
      </w:r>
      <w:r>
        <w:rPr>
          <w:sz w:val="24"/>
        </w:rPr>
        <w:t>233(a)(2)</w:t>
      </w:r>
      <w:r>
        <w:rPr>
          <w:spacing w:val="40"/>
          <w:sz w:val="24"/>
        </w:rPr>
        <w:t xml:space="preserve"> </w:t>
      </w:r>
      <w:r>
        <w:rPr>
          <w:sz w:val="24"/>
        </w:rPr>
        <w:t>and</w:t>
      </w:r>
      <w:r>
        <w:rPr>
          <w:spacing w:val="40"/>
          <w:sz w:val="24"/>
        </w:rPr>
        <w:t xml:space="preserve"> </w:t>
      </w:r>
      <w:r>
        <w:rPr>
          <w:sz w:val="24"/>
        </w:rPr>
        <w:t>34</w:t>
      </w:r>
      <w:r>
        <w:rPr>
          <w:spacing w:val="40"/>
          <w:sz w:val="24"/>
        </w:rPr>
        <w:t xml:space="preserve"> </w:t>
      </w:r>
      <w:r>
        <w:rPr>
          <w:sz w:val="24"/>
        </w:rPr>
        <w:t>CFR</w:t>
      </w:r>
    </w:p>
    <w:p w14:paraId="365A9679" w14:textId="4728889B" w:rsidR="00E41A5B" w:rsidRDefault="009148E4">
      <w:pPr>
        <w:pStyle w:val="BodyText"/>
        <w:spacing w:before="1"/>
        <w:ind w:left="2291" w:right="1350"/>
      </w:pPr>
      <w:r>
        <w:t>§§</w:t>
      </w:r>
      <w:r>
        <w:t xml:space="preserve"> </w:t>
      </w:r>
      <w:r w:rsidR="00DA7B02">
        <w:t>463.25 and 463.26(e)). Non-Federal resources that are cash, non-cash, or third-party</w:t>
      </w:r>
      <w:r w:rsidR="00DA7B02">
        <w:rPr>
          <w:spacing w:val="40"/>
        </w:rPr>
        <w:t xml:space="preserve"> </w:t>
      </w:r>
      <w:r w:rsidR="00DA7B02">
        <w:t>in-kind contributions may</w:t>
      </w:r>
      <w:r w:rsidR="00DA7B02">
        <w:rPr>
          <w:spacing w:val="-2"/>
        </w:rPr>
        <w:t xml:space="preserve"> </w:t>
      </w:r>
      <w:r w:rsidR="00DA7B02">
        <w:t>also be</w:t>
      </w:r>
      <w:r w:rsidR="00DA7B02">
        <w:rPr>
          <w:spacing w:val="-1"/>
        </w:rPr>
        <w:t xml:space="preserve"> </w:t>
      </w:r>
      <w:r w:rsidR="00DA7B02">
        <w:t>used. The Federal funds available</w:t>
      </w:r>
      <w:r w:rsidR="00DA7B02">
        <w:rPr>
          <w:spacing w:val="-1"/>
        </w:rPr>
        <w:t xml:space="preserve"> </w:t>
      </w:r>
      <w:r w:rsidR="00DA7B02">
        <w:t>for</w:t>
      </w:r>
      <w:r w:rsidR="00DA7B02">
        <w:rPr>
          <w:spacing w:val="-1"/>
        </w:rPr>
        <w:t xml:space="preserve"> </w:t>
      </w:r>
      <w:r w:rsidR="00DA7B02">
        <w:t>activities other than local administration may not be used for such costs. For the SFM, other funds made available by the State may be used.</w:t>
      </w:r>
    </w:p>
    <w:p w14:paraId="365A967A" w14:textId="0BE4A380" w:rsidR="00E41A5B" w:rsidRDefault="00DA7B02">
      <w:pPr>
        <w:pStyle w:val="ListParagraph"/>
        <w:numPr>
          <w:ilvl w:val="1"/>
          <w:numId w:val="22"/>
        </w:numPr>
        <w:tabs>
          <w:tab w:val="left" w:pos="2291"/>
        </w:tabs>
        <w:spacing w:before="2"/>
        <w:ind w:right="1355"/>
        <w:rPr>
          <w:sz w:val="24"/>
        </w:rPr>
      </w:pPr>
      <w:r>
        <w:rPr>
          <w:sz w:val="24"/>
          <w:u w:val="single"/>
        </w:rPr>
        <w:t>VR program</w:t>
      </w:r>
      <w:r>
        <w:rPr>
          <w:sz w:val="24"/>
        </w:rPr>
        <w:t xml:space="preserve"> – This program does not distinguish between program and administrative funds. Non-Federal resources that are cash, non-cash, or third-party in-kind contributions may also be used under the LFM and SFM. The VR regulations at 34 CFR </w:t>
      </w:r>
      <w:r w:rsidR="009148E4">
        <w:t>§</w:t>
      </w:r>
      <w:r w:rsidR="009148E4">
        <w:t xml:space="preserve"> </w:t>
      </w:r>
      <w:r>
        <w:rPr>
          <w:sz w:val="24"/>
        </w:rPr>
        <w:t>361.5(c)(2)(viii) clarify that one-stop system infrastructure costs are allowable administrative costs under the VR program. Therefore, although the VR program imposes no limits on the amount of funds that may be spent on administrative costs, VR</w:t>
      </w:r>
      <w:r>
        <w:rPr>
          <w:spacing w:val="24"/>
          <w:sz w:val="24"/>
        </w:rPr>
        <w:t xml:space="preserve"> </w:t>
      </w:r>
      <w:r>
        <w:rPr>
          <w:sz w:val="24"/>
        </w:rPr>
        <w:t>agencies</w:t>
      </w:r>
      <w:r>
        <w:rPr>
          <w:spacing w:val="24"/>
          <w:sz w:val="24"/>
        </w:rPr>
        <w:t xml:space="preserve"> </w:t>
      </w:r>
      <w:r>
        <w:rPr>
          <w:sz w:val="24"/>
        </w:rPr>
        <w:t>must</w:t>
      </w:r>
      <w:r>
        <w:rPr>
          <w:spacing w:val="24"/>
          <w:sz w:val="24"/>
        </w:rPr>
        <w:t xml:space="preserve"> </w:t>
      </w:r>
      <w:r>
        <w:rPr>
          <w:sz w:val="24"/>
        </w:rPr>
        <w:t>report</w:t>
      </w:r>
      <w:r>
        <w:rPr>
          <w:spacing w:val="24"/>
          <w:sz w:val="24"/>
        </w:rPr>
        <w:t xml:space="preserve"> </w:t>
      </w:r>
      <w:r>
        <w:rPr>
          <w:sz w:val="24"/>
        </w:rPr>
        <w:t>funds</w:t>
      </w:r>
      <w:r>
        <w:rPr>
          <w:spacing w:val="24"/>
          <w:sz w:val="24"/>
        </w:rPr>
        <w:t xml:space="preserve"> </w:t>
      </w:r>
      <w:r>
        <w:rPr>
          <w:sz w:val="24"/>
        </w:rPr>
        <w:t>spent</w:t>
      </w:r>
      <w:r>
        <w:rPr>
          <w:spacing w:val="24"/>
          <w:sz w:val="24"/>
        </w:rPr>
        <w:t xml:space="preserve"> </w:t>
      </w:r>
      <w:proofErr w:type="gramStart"/>
      <w:r>
        <w:rPr>
          <w:sz w:val="24"/>
        </w:rPr>
        <w:t>for</w:t>
      </w:r>
      <w:proofErr w:type="gramEnd"/>
      <w:r>
        <w:rPr>
          <w:spacing w:val="23"/>
          <w:sz w:val="24"/>
        </w:rPr>
        <w:t xml:space="preserve"> </w:t>
      </w:r>
      <w:r>
        <w:rPr>
          <w:sz w:val="24"/>
        </w:rPr>
        <w:t>infrastructure</w:t>
      </w:r>
      <w:r>
        <w:rPr>
          <w:spacing w:val="22"/>
          <w:sz w:val="24"/>
        </w:rPr>
        <w:t xml:space="preserve"> </w:t>
      </w:r>
      <w:r>
        <w:rPr>
          <w:sz w:val="24"/>
        </w:rPr>
        <w:t>costs</w:t>
      </w:r>
      <w:r>
        <w:rPr>
          <w:spacing w:val="24"/>
          <w:sz w:val="24"/>
        </w:rPr>
        <w:t xml:space="preserve"> </w:t>
      </w:r>
      <w:r>
        <w:rPr>
          <w:sz w:val="24"/>
        </w:rPr>
        <w:t>as</w:t>
      </w:r>
      <w:r>
        <w:rPr>
          <w:spacing w:val="24"/>
          <w:sz w:val="24"/>
        </w:rPr>
        <w:t xml:space="preserve"> </w:t>
      </w:r>
      <w:r>
        <w:rPr>
          <w:sz w:val="24"/>
        </w:rPr>
        <w:t>administrative</w:t>
      </w:r>
      <w:r>
        <w:rPr>
          <w:spacing w:val="22"/>
          <w:sz w:val="24"/>
        </w:rPr>
        <w:t xml:space="preserve"> </w:t>
      </w:r>
      <w:r>
        <w:rPr>
          <w:sz w:val="24"/>
        </w:rPr>
        <w:t>costs.</w:t>
      </w:r>
    </w:p>
    <w:p w14:paraId="365A967B" w14:textId="77777777" w:rsidR="00E41A5B" w:rsidRDefault="00E41A5B">
      <w:pPr>
        <w:jc w:val="both"/>
        <w:rPr>
          <w:sz w:val="24"/>
        </w:rPr>
        <w:sectPr w:rsidR="00E41A5B">
          <w:pgSz w:w="12240" w:h="15840"/>
          <w:pgMar w:top="1360" w:right="80" w:bottom="1540" w:left="140" w:header="0" w:footer="1345" w:gutter="0"/>
          <w:cols w:space="720"/>
        </w:sectPr>
      </w:pPr>
    </w:p>
    <w:p w14:paraId="365A967C" w14:textId="77777777" w:rsidR="00E41A5B" w:rsidRDefault="00DA7B02">
      <w:pPr>
        <w:pStyle w:val="BodyText"/>
        <w:spacing w:before="72"/>
        <w:ind w:left="2291" w:right="1355"/>
      </w:pPr>
      <w:r>
        <w:lastRenderedPageBreak/>
        <w:t>Furthermore, as stated above, VR agencies may not count third-party in-kind contributions toward meeting their match requirement under the VR program when such contributions are used for one-stop operating costs.</w:t>
      </w:r>
    </w:p>
    <w:p w14:paraId="365A967D" w14:textId="77777777" w:rsidR="00E41A5B" w:rsidRDefault="00DA7B02">
      <w:pPr>
        <w:pStyle w:val="ListParagraph"/>
        <w:numPr>
          <w:ilvl w:val="1"/>
          <w:numId w:val="22"/>
        </w:numPr>
        <w:tabs>
          <w:tab w:val="left" w:pos="2291"/>
        </w:tabs>
        <w:spacing w:before="2"/>
        <w:ind w:right="1354"/>
        <w:rPr>
          <w:sz w:val="24"/>
        </w:rPr>
      </w:pPr>
      <w:r>
        <w:rPr>
          <w:sz w:val="24"/>
          <w:u w:val="single"/>
        </w:rPr>
        <w:t>Perkins IV</w:t>
      </w:r>
      <w:r>
        <w:rPr>
          <w:sz w:val="24"/>
        </w:rPr>
        <w:t xml:space="preserve"> – For the LFM, Federal funds made available for local administration may be used to pay infrastructure costs. Non-Federal resources that are cash, non-cash, or third-party</w:t>
      </w:r>
      <w:r>
        <w:rPr>
          <w:spacing w:val="-4"/>
          <w:sz w:val="24"/>
        </w:rPr>
        <w:t xml:space="preserve"> </w:t>
      </w:r>
      <w:r>
        <w:rPr>
          <w:sz w:val="24"/>
        </w:rPr>
        <w:t>in-kind contributions, and other funds made available by</w:t>
      </w:r>
      <w:r>
        <w:rPr>
          <w:spacing w:val="-4"/>
          <w:sz w:val="24"/>
        </w:rPr>
        <w:t xml:space="preserve"> </w:t>
      </w:r>
      <w:r>
        <w:rPr>
          <w:sz w:val="24"/>
        </w:rPr>
        <w:t>the State may</w:t>
      </w:r>
      <w:r>
        <w:rPr>
          <w:spacing w:val="-4"/>
          <w:sz w:val="24"/>
        </w:rPr>
        <w:t xml:space="preserve"> </w:t>
      </w:r>
      <w:r>
        <w:rPr>
          <w:sz w:val="24"/>
        </w:rPr>
        <w:t>also be used to pay infrastructure costs. Under the SFM, Federal funds made available for local administration of postsecondary level programs and activities to eligible recipients or consortia of eligible recipients may be used to pay infrastructure costs. Additionally, funds made available by</w:t>
      </w:r>
      <w:r>
        <w:rPr>
          <w:spacing w:val="-5"/>
          <w:sz w:val="24"/>
        </w:rPr>
        <w:t xml:space="preserve"> </w:t>
      </w:r>
      <w:r>
        <w:rPr>
          <w:sz w:val="24"/>
        </w:rPr>
        <w:t>the State</w:t>
      </w:r>
      <w:r>
        <w:rPr>
          <w:spacing w:val="-1"/>
          <w:sz w:val="24"/>
        </w:rPr>
        <w:t xml:space="preserve"> </w:t>
      </w:r>
      <w:r>
        <w:rPr>
          <w:sz w:val="24"/>
        </w:rPr>
        <w:t>or non-Federal resources that are</w:t>
      </w:r>
      <w:r>
        <w:rPr>
          <w:spacing w:val="-1"/>
          <w:sz w:val="24"/>
        </w:rPr>
        <w:t xml:space="preserve"> </w:t>
      </w:r>
      <w:r>
        <w:rPr>
          <w:sz w:val="24"/>
        </w:rPr>
        <w:t>cash, non-cash, or third-party in-kind contributions, and other funds made available by the State may be used to contribute to infrastructure costs.</w:t>
      </w:r>
    </w:p>
    <w:p w14:paraId="365A967E" w14:textId="77777777" w:rsidR="00E41A5B" w:rsidRDefault="00DA7B02">
      <w:pPr>
        <w:pStyle w:val="ListParagraph"/>
        <w:numPr>
          <w:ilvl w:val="1"/>
          <w:numId w:val="22"/>
        </w:numPr>
        <w:tabs>
          <w:tab w:val="left" w:pos="2291"/>
        </w:tabs>
        <w:ind w:right="1356"/>
        <w:rPr>
          <w:sz w:val="24"/>
        </w:rPr>
      </w:pPr>
      <w:r>
        <w:rPr>
          <w:sz w:val="24"/>
          <w:u w:val="single"/>
        </w:rPr>
        <w:t>Other required partners including HUD employment and training programs, CSBG</w:t>
      </w:r>
      <w:r>
        <w:rPr>
          <w:sz w:val="24"/>
        </w:rPr>
        <w:t xml:space="preserve"> </w:t>
      </w:r>
      <w:r>
        <w:rPr>
          <w:sz w:val="24"/>
          <w:u w:val="single"/>
        </w:rPr>
        <w:t xml:space="preserve">programs, and TANF </w:t>
      </w:r>
      <w:r>
        <w:rPr>
          <w:sz w:val="24"/>
        </w:rPr>
        <w:t>– These partner programs may determine what funds they will use to pay for infrastructure costs under the LFM. The use of these funds must be in accordance</w:t>
      </w:r>
      <w:r>
        <w:rPr>
          <w:spacing w:val="-3"/>
          <w:sz w:val="24"/>
        </w:rPr>
        <w:t xml:space="preserve"> </w:t>
      </w:r>
      <w:r>
        <w:rPr>
          <w:sz w:val="24"/>
        </w:rPr>
        <w:t>with</w:t>
      </w:r>
      <w:r>
        <w:rPr>
          <w:spacing w:val="-2"/>
          <w:sz w:val="24"/>
        </w:rPr>
        <w:t xml:space="preserve"> </w:t>
      </w:r>
      <w:r>
        <w:rPr>
          <w:sz w:val="24"/>
        </w:rPr>
        <w:t>the</w:t>
      </w:r>
      <w:r>
        <w:rPr>
          <w:spacing w:val="-3"/>
          <w:sz w:val="24"/>
        </w:rPr>
        <w:t xml:space="preserve"> </w:t>
      </w:r>
      <w:r>
        <w:rPr>
          <w:sz w:val="24"/>
        </w:rPr>
        <w:t>requirements</w:t>
      </w:r>
      <w:r>
        <w:rPr>
          <w:spacing w:val="-2"/>
          <w:sz w:val="24"/>
        </w:rPr>
        <w:t xml:space="preserve"> </w:t>
      </w:r>
      <w:r>
        <w:rPr>
          <w:sz w:val="24"/>
        </w:rPr>
        <w:t>of</w:t>
      </w:r>
      <w:r>
        <w:rPr>
          <w:spacing w:val="-3"/>
          <w:sz w:val="24"/>
        </w:rPr>
        <w:t xml:space="preserve"> </w:t>
      </w:r>
      <w:r>
        <w:rPr>
          <w:sz w:val="24"/>
        </w:rPr>
        <w:t>WIOA</w:t>
      </w:r>
      <w:r>
        <w:rPr>
          <w:spacing w:val="-3"/>
          <w:sz w:val="24"/>
        </w:rPr>
        <w:t xml:space="preserve"> </w:t>
      </w:r>
      <w:r>
        <w:rPr>
          <w:sz w:val="24"/>
        </w:rPr>
        <w:t>and</w:t>
      </w:r>
      <w:r>
        <w:rPr>
          <w:spacing w:val="-2"/>
          <w:sz w:val="24"/>
        </w:rPr>
        <w:t xml:space="preserve"> </w:t>
      </w:r>
      <w:r>
        <w:rPr>
          <w:sz w:val="24"/>
        </w:rPr>
        <w:t>with</w:t>
      </w:r>
      <w:r>
        <w:rPr>
          <w:spacing w:val="-2"/>
          <w:sz w:val="24"/>
        </w:rPr>
        <w:t xml:space="preserve"> </w:t>
      </w:r>
      <w:r>
        <w:rPr>
          <w:sz w:val="24"/>
        </w:rPr>
        <w:t>the</w:t>
      </w:r>
      <w:r>
        <w:rPr>
          <w:spacing w:val="-3"/>
          <w:sz w:val="24"/>
        </w:rPr>
        <w:t xml:space="preserve"> </w:t>
      </w:r>
      <w:r>
        <w:rPr>
          <w:sz w:val="24"/>
        </w:rPr>
        <w:t>relevant</w:t>
      </w:r>
      <w:r>
        <w:rPr>
          <w:spacing w:val="-2"/>
          <w:sz w:val="24"/>
        </w:rPr>
        <w:t xml:space="preserve"> </w:t>
      </w:r>
      <w:r>
        <w:rPr>
          <w:sz w:val="24"/>
        </w:rPr>
        <w:t>partner’s</w:t>
      </w:r>
      <w:r>
        <w:rPr>
          <w:spacing w:val="-2"/>
          <w:sz w:val="24"/>
        </w:rPr>
        <w:t xml:space="preserve"> </w:t>
      </w:r>
      <w:r>
        <w:rPr>
          <w:sz w:val="24"/>
        </w:rPr>
        <w:t>authorizing statutes and regulations, including, for example, prohibitions against supplanting non</w:t>
      </w:r>
      <w:proofErr w:type="gramStart"/>
      <w:r>
        <w:rPr>
          <w:sz w:val="24"/>
        </w:rPr>
        <w:t>- Federal</w:t>
      </w:r>
      <w:proofErr w:type="gramEnd"/>
      <w:r>
        <w:rPr>
          <w:sz w:val="24"/>
        </w:rPr>
        <w:t xml:space="preserve"> resources, statutory limitations on administrative costs, and all other</w:t>
      </w:r>
      <w:r>
        <w:rPr>
          <w:spacing w:val="80"/>
          <w:sz w:val="24"/>
        </w:rPr>
        <w:t xml:space="preserve"> </w:t>
      </w:r>
      <w:r>
        <w:rPr>
          <w:sz w:val="24"/>
        </w:rPr>
        <w:t>applicable legal requirements. For the SFM, only administrative funds for these other required partner programs may be used to pay infrastructure costs.</w:t>
      </w:r>
    </w:p>
    <w:p w14:paraId="365A967F" w14:textId="77777777" w:rsidR="00E41A5B" w:rsidRDefault="00DA7B02">
      <w:pPr>
        <w:pStyle w:val="ListParagraph"/>
        <w:numPr>
          <w:ilvl w:val="1"/>
          <w:numId w:val="22"/>
        </w:numPr>
        <w:tabs>
          <w:tab w:val="left" w:pos="2291"/>
        </w:tabs>
        <w:ind w:right="1358"/>
        <w:rPr>
          <w:sz w:val="24"/>
        </w:rPr>
      </w:pPr>
      <w:r>
        <w:rPr>
          <w:sz w:val="24"/>
          <w:u w:val="single"/>
        </w:rPr>
        <w:t>Additional Partners</w:t>
      </w:r>
      <w:r>
        <w:rPr>
          <w:sz w:val="24"/>
        </w:rPr>
        <w:t xml:space="preserve"> – For the LFM, these partners must consult their program’s requirements</w:t>
      </w:r>
      <w:r>
        <w:rPr>
          <w:spacing w:val="-2"/>
          <w:sz w:val="24"/>
        </w:rPr>
        <w:t xml:space="preserve"> </w:t>
      </w:r>
      <w:r>
        <w:rPr>
          <w:sz w:val="24"/>
        </w:rPr>
        <w:t>and/or</w:t>
      </w:r>
      <w:r>
        <w:rPr>
          <w:spacing w:val="-3"/>
          <w:sz w:val="24"/>
        </w:rPr>
        <w:t xml:space="preserve"> </w:t>
      </w:r>
      <w:r>
        <w:rPr>
          <w:sz w:val="24"/>
        </w:rPr>
        <w:t>statute</w:t>
      </w:r>
      <w:r>
        <w:rPr>
          <w:spacing w:val="-3"/>
          <w:sz w:val="24"/>
        </w:rPr>
        <w:t xml:space="preserve"> </w:t>
      </w:r>
      <w:r>
        <w:rPr>
          <w:sz w:val="24"/>
        </w:rPr>
        <w:t>or</w:t>
      </w:r>
      <w:r>
        <w:rPr>
          <w:spacing w:val="-3"/>
          <w:sz w:val="24"/>
        </w:rPr>
        <w:t xml:space="preserve"> </w:t>
      </w:r>
      <w:r>
        <w:rPr>
          <w:sz w:val="24"/>
        </w:rPr>
        <w:t>authorizing</w:t>
      </w:r>
      <w:r>
        <w:rPr>
          <w:spacing w:val="-4"/>
          <w:sz w:val="24"/>
        </w:rPr>
        <w:t xml:space="preserve"> </w:t>
      </w:r>
      <w:r>
        <w:rPr>
          <w:sz w:val="24"/>
        </w:rPr>
        <w:t>documents/regulations</w:t>
      </w:r>
      <w:r>
        <w:rPr>
          <w:spacing w:val="-2"/>
          <w:sz w:val="24"/>
        </w:rPr>
        <w:t xml:space="preserve"> </w:t>
      </w:r>
      <w:r>
        <w:rPr>
          <w:sz w:val="24"/>
        </w:rPr>
        <w:t>to</w:t>
      </w:r>
      <w:r>
        <w:rPr>
          <w:spacing w:val="-2"/>
          <w:sz w:val="24"/>
        </w:rPr>
        <w:t xml:space="preserve"> </w:t>
      </w:r>
      <w:r>
        <w:rPr>
          <w:sz w:val="24"/>
        </w:rPr>
        <w:t>determine</w:t>
      </w:r>
      <w:r>
        <w:rPr>
          <w:spacing w:val="-3"/>
          <w:sz w:val="24"/>
        </w:rPr>
        <w:t xml:space="preserve"> </w:t>
      </w:r>
      <w:r>
        <w:rPr>
          <w:sz w:val="24"/>
        </w:rPr>
        <w:t>the</w:t>
      </w:r>
      <w:r>
        <w:rPr>
          <w:spacing w:val="-3"/>
          <w:sz w:val="24"/>
        </w:rPr>
        <w:t xml:space="preserve"> </w:t>
      </w:r>
      <w:r>
        <w:rPr>
          <w:sz w:val="24"/>
        </w:rPr>
        <w:t xml:space="preserve">type and source of funds that may be used. The SFM does not apply to the additional </w:t>
      </w:r>
      <w:r>
        <w:rPr>
          <w:spacing w:val="-2"/>
          <w:sz w:val="24"/>
        </w:rPr>
        <w:t>partners.</w:t>
      </w:r>
    </w:p>
    <w:p w14:paraId="365A9680" w14:textId="2AED3C5D" w:rsidR="00E41A5B" w:rsidRDefault="00DA7B02">
      <w:pPr>
        <w:pStyle w:val="BodyText"/>
        <w:spacing w:before="258"/>
        <w:ind w:left="1300" w:right="1357"/>
      </w:pPr>
      <w:r>
        <w:t>The</w:t>
      </w:r>
      <w:r>
        <w:rPr>
          <w:spacing w:val="-1"/>
        </w:rPr>
        <w:t xml:space="preserve"> </w:t>
      </w:r>
      <w:r>
        <w:t>funds one-stop partners use</w:t>
      </w:r>
      <w:r>
        <w:rPr>
          <w:spacing w:val="-1"/>
        </w:rPr>
        <w:t xml:space="preserve"> </w:t>
      </w:r>
      <w:r>
        <w:t>to pay</w:t>
      </w:r>
      <w:r>
        <w:rPr>
          <w:spacing w:val="-5"/>
        </w:rPr>
        <w:t xml:space="preserve"> </w:t>
      </w:r>
      <w:r>
        <w:t>the</w:t>
      </w:r>
      <w:r>
        <w:rPr>
          <w:spacing w:val="-1"/>
        </w:rPr>
        <w:t xml:space="preserve"> </w:t>
      </w:r>
      <w:r>
        <w:t>additional costs of</w:t>
      </w:r>
      <w:r>
        <w:rPr>
          <w:spacing w:val="-1"/>
        </w:rPr>
        <w:t xml:space="preserve"> </w:t>
      </w:r>
      <w:r>
        <w:t>a</w:t>
      </w:r>
      <w:r>
        <w:rPr>
          <w:spacing w:val="-1"/>
        </w:rPr>
        <w:t xml:space="preserve"> </w:t>
      </w:r>
      <w:r>
        <w:t>one-stop delivery</w:t>
      </w:r>
      <w:r>
        <w:rPr>
          <w:spacing w:val="-5"/>
        </w:rPr>
        <w:t xml:space="preserve"> </w:t>
      </w:r>
      <w:r>
        <w:t xml:space="preserve">system must be consistent with WIOA and its implementing regulations governing that </w:t>
      </w:r>
      <w:proofErr w:type="gramStart"/>
      <w:r>
        <w:t>particular program</w:t>
      </w:r>
      <w:proofErr w:type="gramEnd"/>
      <w:r>
        <w:t xml:space="preserve"> (20 CFR </w:t>
      </w:r>
      <w:r w:rsidR="009148E4">
        <w:t>§§</w:t>
      </w:r>
      <w:r w:rsidR="009148E4">
        <w:t xml:space="preserve"> </w:t>
      </w:r>
      <w:r>
        <w:t xml:space="preserve">678.760, 34 CFR 361.760, and 34 CFR </w:t>
      </w:r>
      <w:r w:rsidR="009148E4">
        <w:t>§</w:t>
      </w:r>
      <w:r w:rsidR="009148E4">
        <w:t xml:space="preserve"> </w:t>
      </w:r>
      <w:r>
        <w:t>463.760). The determination of contributions for additional costs is not subject to the SFM.</w:t>
      </w:r>
    </w:p>
    <w:p w14:paraId="365A9681" w14:textId="77777777" w:rsidR="00E41A5B" w:rsidRDefault="00E41A5B">
      <w:pPr>
        <w:pStyle w:val="BodyText"/>
        <w:jc w:val="left"/>
      </w:pPr>
    </w:p>
    <w:p w14:paraId="365A9682" w14:textId="77777777" w:rsidR="00E41A5B" w:rsidRDefault="00DA7B02">
      <w:pPr>
        <w:pStyle w:val="ListParagraph"/>
        <w:numPr>
          <w:ilvl w:val="0"/>
          <w:numId w:val="22"/>
        </w:numPr>
        <w:tabs>
          <w:tab w:val="left" w:pos="1628"/>
        </w:tabs>
        <w:spacing w:before="1"/>
        <w:ind w:right="1359" w:firstLine="0"/>
        <w:rPr>
          <w:sz w:val="24"/>
        </w:rPr>
      </w:pPr>
      <w:r>
        <w:rPr>
          <w:b/>
          <w:sz w:val="24"/>
          <w:u w:val="single"/>
        </w:rPr>
        <w:t>Uniform Guidance – Federal Cost Principles</w:t>
      </w:r>
      <w:r>
        <w:rPr>
          <w:b/>
          <w:sz w:val="24"/>
        </w:rPr>
        <w:t>.</w:t>
      </w:r>
      <w:r>
        <w:rPr>
          <w:b/>
          <w:spacing w:val="40"/>
          <w:sz w:val="24"/>
        </w:rPr>
        <w:t xml:space="preserve"> </w:t>
      </w:r>
      <w:r>
        <w:rPr>
          <w:sz w:val="24"/>
        </w:rPr>
        <w:t>Any cost paid for with Federal grant funds must</w:t>
      </w:r>
      <w:r>
        <w:rPr>
          <w:spacing w:val="26"/>
          <w:sz w:val="24"/>
        </w:rPr>
        <w:t xml:space="preserve"> </w:t>
      </w:r>
      <w:r>
        <w:rPr>
          <w:sz w:val="24"/>
        </w:rPr>
        <w:t>comply</w:t>
      </w:r>
      <w:r>
        <w:rPr>
          <w:spacing w:val="18"/>
          <w:sz w:val="24"/>
        </w:rPr>
        <w:t xml:space="preserve"> </w:t>
      </w:r>
      <w:r>
        <w:rPr>
          <w:sz w:val="24"/>
        </w:rPr>
        <w:t>with</w:t>
      </w:r>
      <w:r>
        <w:rPr>
          <w:spacing w:val="25"/>
          <w:sz w:val="24"/>
        </w:rPr>
        <w:t xml:space="preserve"> </w:t>
      </w:r>
      <w:r>
        <w:rPr>
          <w:sz w:val="24"/>
        </w:rPr>
        <w:t>Subpart</w:t>
      </w:r>
      <w:r>
        <w:rPr>
          <w:spacing w:val="26"/>
          <w:sz w:val="24"/>
        </w:rPr>
        <w:t xml:space="preserve"> </w:t>
      </w:r>
      <w:r>
        <w:rPr>
          <w:sz w:val="24"/>
        </w:rPr>
        <w:t>E,</w:t>
      </w:r>
      <w:r>
        <w:rPr>
          <w:spacing w:val="25"/>
          <w:sz w:val="24"/>
        </w:rPr>
        <w:t xml:space="preserve"> </w:t>
      </w:r>
      <w:r>
        <w:rPr>
          <w:sz w:val="24"/>
        </w:rPr>
        <w:t>Federal</w:t>
      </w:r>
      <w:r>
        <w:rPr>
          <w:spacing w:val="26"/>
          <w:sz w:val="24"/>
        </w:rPr>
        <w:t xml:space="preserve"> </w:t>
      </w:r>
      <w:r>
        <w:rPr>
          <w:sz w:val="24"/>
        </w:rPr>
        <w:t>Cost</w:t>
      </w:r>
      <w:r>
        <w:rPr>
          <w:spacing w:val="26"/>
          <w:sz w:val="24"/>
        </w:rPr>
        <w:t xml:space="preserve"> </w:t>
      </w:r>
      <w:r>
        <w:rPr>
          <w:sz w:val="24"/>
        </w:rPr>
        <w:t>Principles</w:t>
      </w:r>
      <w:r>
        <w:rPr>
          <w:spacing w:val="26"/>
          <w:sz w:val="24"/>
        </w:rPr>
        <w:t xml:space="preserve"> </w:t>
      </w:r>
      <w:r>
        <w:rPr>
          <w:sz w:val="24"/>
        </w:rPr>
        <w:t>of</w:t>
      </w:r>
      <w:r>
        <w:rPr>
          <w:spacing w:val="25"/>
          <w:sz w:val="24"/>
        </w:rPr>
        <w:t xml:space="preserve"> </w:t>
      </w:r>
      <w:r>
        <w:rPr>
          <w:sz w:val="24"/>
        </w:rPr>
        <w:t>the</w:t>
      </w:r>
      <w:r>
        <w:rPr>
          <w:spacing w:val="24"/>
          <w:sz w:val="24"/>
        </w:rPr>
        <w:t xml:space="preserve"> </w:t>
      </w:r>
      <w:r>
        <w:rPr>
          <w:sz w:val="24"/>
        </w:rPr>
        <w:t>Uniform</w:t>
      </w:r>
      <w:r>
        <w:rPr>
          <w:spacing w:val="26"/>
          <w:sz w:val="24"/>
        </w:rPr>
        <w:t xml:space="preserve"> </w:t>
      </w:r>
      <w:r>
        <w:rPr>
          <w:sz w:val="24"/>
        </w:rPr>
        <w:t>Guidance</w:t>
      </w:r>
      <w:r>
        <w:rPr>
          <w:spacing w:val="24"/>
          <w:sz w:val="24"/>
        </w:rPr>
        <w:t xml:space="preserve"> </w:t>
      </w:r>
      <w:r>
        <w:rPr>
          <w:sz w:val="24"/>
        </w:rPr>
        <w:t>at</w:t>
      </w:r>
      <w:r>
        <w:rPr>
          <w:spacing w:val="26"/>
          <w:sz w:val="24"/>
        </w:rPr>
        <w:t xml:space="preserve"> </w:t>
      </w:r>
      <w:r>
        <w:rPr>
          <w:sz w:val="24"/>
        </w:rPr>
        <w:t>2</w:t>
      </w:r>
      <w:r>
        <w:rPr>
          <w:spacing w:val="25"/>
          <w:sz w:val="24"/>
        </w:rPr>
        <w:t xml:space="preserve"> </w:t>
      </w:r>
      <w:r>
        <w:rPr>
          <w:sz w:val="24"/>
        </w:rPr>
        <w:t>CFR</w:t>
      </w:r>
      <w:r>
        <w:rPr>
          <w:spacing w:val="26"/>
          <w:sz w:val="24"/>
        </w:rPr>
        <w:t xml:space="preserve"> </w:t>
      </w:r>
      <w:r>
        <w:rPr>
          <w:sz w:val="24"/>
        </w:rPr>
        <w:t>part</w:t>
      </w:r>
    </w:p>
    <w:p w14:paraId="365A9683" w14:textId="77777777" w:rsidR="00E41A5B" w:rsidRDefault="00DA7B02">
      <w:pPr>
        <w:pStyle w:val="BodyText"/>
        <w:ind w:left="1299" w:right="1358"/>
      </w:pPr>
      <w:r>
        <w:t xml:space="preserve">200. The Federal Cost Principles, applicable to one-stop partners that are </w:t>
      </w:r>
      <w:proofErr w:type="gramStart"/>
      <w:r>
        <w:t>Federally-funded</w:t>
      </w:r>
      <w:proofErr w:type="gramEnd"/>
      <w:r>
        <w:t>, provide general guidance to be used in developing cost allocation methodologies and in determining if contributions towards infrastructure costs and additional costs are necessary, reasonable,</w:t>
      </w:r>
      <w:r>
        <w:rPr>
          <w:spacing w:val="-3"/>
        </w:rPr>
        <w:t xml:space="preserve"> </w:t>
      </w:r>
      <w:r>
        <w:t>and</w:t>
      </w:r>
      <w:r>
        <w:rPr>
          <w:spacing w:val="-1"/>
        </w:rPr>
        <w:t xml:space="preserve"> </w:t>
      </w:r>
      <w:r>
        <w:t>allocable</w:t>
      </w:r>
      <w:r>
        <w:rPr>
          <w:spacing w:val="-2"/>
        </w:rPr>
        <w:t xml:space="preserve"> </w:t>
      </w:r>
      <w:r>
        <w:t>to</w:t>
      </w:r>
      <w:r>
        <w:rPr>
          <w:spacing w:val="-3"/>
        </w:rPr>
        <w:t xml:space="preserve"> </w:t>
      </w:r>
      <w:r>
        <w:t>their</w:t>
      </w:r>
      <w:r>
        <w:rPr>
          <w:spacing w:val="-4"/>
        </w:rPr>
        <w:t xml:space="preserve"> </w:t>
      </w:r>
      <w:r>
        <w:t>program</w:t>
      </w:r>
      <w:r>
        <w:rPr>
          <w:spacing w:val="-3"/>
        </w:rPr>
        <w:t xml:space="preserve"> </w:t>
      </w:r>
      <w:r>
        <w:t>based</w:t>
      </w:r>
      <w:r>
        <w:rPr>
          <w:spacing w:val="-3"/>
        </w:rPr>
        <w:t xml:space="preserve"> </w:t>
      </w:r>
      <w:r>
        <w:t>upon</w:t>
      </w:r>
      <w:r>
        <w:rPr>
          <w:spacing w:val="-3"/>
        </w:rPr>
        <w:t xml:space="preserve"> </w:t>
      </w:r>
      <w:r>
        <w:t>relative</w:t>
      </w:r>
      <w:r>
        <w:rPr>
          <w:spacing w:val="-2"/>
        </w:rPr>
        <w:t xml:space="preserve"> </w:t>
      </w:r>
      <w:r>
        <w:t>benefits</w:t>
      </w:r>
      <w:r>
        <w:rPr>
          <w:spacing w:val="-3"/>
        </w:rPr>
        <w:t xml:space="preserve"> </w:t>
      </w:r>
      <w:r>
        <w:t>received.</w:t>
      </w:r>
      <w:r>
        <w:rPr>
          <w:spacing w:val="-3"/>
        </w:rPr>
        <w:t xml:space="preserve"> </w:t>
      </w:r>
      <w:r>
        <w:t>Additionally,</w:t>
      </w:r>
      <w:r>
        <w:rPr>
          <w:spacing w:val="-1"/>
        </w:rPr>
        <w:t xml:space="preserve"> </w:t>
      </w:r>
      <w:r>
        <w:t xml:space="preserve">all costs must be </w:t>
      </w:r>
      <w:proofErr w:type="gramStart"/>
      <w:r>
        <w:t>allowable</w:t>
      </w:r>
      <w:proofErr w:type="gramEnd"/>
      <w:r>
        <w:t xml:space="preserve"> under, and allocable to, that partner program in accordance with the program’s authorizing statute and implementing regulations.</w:t>
      </w:r>
    </w:p>
    <w:p w14:paraId="365A9684" w14:textId="77777777" w:rsidR="00E41A5B" w:rsidRDefault="00E41A5B">
      <w:pPr>
        <w:pStyle w:val="BodyText"/>
        <w:jc w:val="left"/>
      </w:pPr>
    </w:p>
    <w:p w14:paraId="365A9685" w14:textId="28F46CCE" w:rsidR="00E41A5B" w:rsidRDefault="00DA7B02">
      <w:pPr>
        <w:pStyle w:val="BodyText"/>
        <w:ind w:left="1299" w:right="1355"/>
      </w:pPr>
      <w:r>
        <w:t>In addition, WIOA requires one-stop partners to contribute funding to establish and maintain the one-stop</w:t>
      </w:r>
      <w:r>
        <w:rPr>
          <w:spacing w:val="-1"/>
        </w:rPr>
        <w:t xml:space="preserve"> </w:t>
      </w:r>
      <w:r>
        <w:t>delivery</w:t>
      </w:r>
      <w:r>
        <w:rPr>
          <w:spacing w:val="-5"/>
        </w:rPr>
        <w:t xml:space="preserve"> </w:t>
      </w:r>
      <w:r>
        <w:t>system based</w:t>
      </w:r>
      <w:r>
        <w:rPr>
          <w:spacing w:val="-1"/>
        </w:rPr>
        <w:t xml:space="preserve"> </w:t>
      </w:r>
      <w:r>
        <w:t>on</w:t>
      </w:r>
      <w:r>
        <w:rPr>
          <w:spacing w:val="-1"/>
        </w:rPr>
        <w:t xml:space="preserve"> </w:t>
      </w:r>
      <w:r>
        <w:t>each</w:t>
      </w:r>
      <w:r>
        <w:rPr>
          <w:spacing w:val="-1"/>
        </w:rPr>
        <w:t xml:space="preserve"> </w:t>
      </w:r>
      <w:r>
        <w:t>partner’s proportionate</w:t>
      </w:r>
      <w:r>
        <w:rPr>
          <w:spacing w:val="-2"/>
        </w:rPr>
        <w:t xml:space="preserve"> </w:t>
      </w:r>
      <w:r>
        <w:t>use</w:t>
      </w:r>
      <w:r>
        <w:rPr>
          <w:spacing w:val="-2"/>
        </w:rPr>
        <w:t xml:space="preserve"> </w:t>
      </w:r>
      <w:r>
        <w:t>of</w:t>
      </w:r>
      <w:r>
        <w:rPr>
          <w:spacing w:val="-2"/>
        </w:rPr>
        <w:t xml:space="preserve"> </w:t>
      </w:r>
      <w:r>
        <w:t>the</w:t>
      </w:r>
      <w:r>
        <w:rPr>
          <w:spacing w:val="-2"/>
        </w:rPr>
        <w:t xml:space="preserve"> </w:t>
      </w:r>
      <w:r>
        <w:t>system</w:t>
      </w:r>
      <w:r>
        <w:rPr>
          <w:spacing w:val="-1"/>
        </w:rPr>
        <w:t xml:space="preserve"> </w:t>
      </w:r>
      <w:r>
        <w:t>and</w:t>
      </w:r>
      <w:r>
        <w:rPr>
          <w:spacing w:val="-1"/>
        </w:rPr>
        <w:t xml:space="preserve"> </w:t>
      </w:r>
      <w:r>
        <w:t>the</w:t>
      </w:r>
      <w:r>
        <w:rPr>
          <w:spacing w:val="-2"/>
        </w:rPr>
        <w:t xml:space="preserve"> </w:t>
      </w:r>
      <w:r>
        <w:t xml:space="preserve">relative benefits received (WIOA </w:t>
      </w:r>
      <w:r w:rsidR="009148E4">
        <w:t>S</w:t>
      </w:r>
      <w:r>
        <w:t>ec. 121(h)(1)(B)(</w:t>
      </w:r>
      <w:proofErr w:type="spellStart"/>
      <w:r>
        <w:t>i</w:t>
      </w:r>
      <w:proofErr w:type="spellEnd"/>
      <w:r>
        <w:t xml:space="preserve">) and 121(h)(2)(C); 20 CFR </w:t>
      </w:r>
      <w:r w:rsidR="009148E4">
        <w:t>§§</w:t>
      </w:r>
      <w:r w:rsidR="009148E4">
        <w:t xml:space="preserve"> </w:t>
      </w:r>
      <w:r>
        <w:t xml:space="preserve">678.420(b), 34 CFR 361.420(b), and 34 CFR 463.420(b)). One-stop partners must use a reasonable cost allocation methodology in determining appropriate partner contributions based on proportionate use and relative benefits received (20 CFR </w:t>
      </w:r>
      <w:r w:rsidR="009148E4">
        <w:t>§§</w:t>
      </w:r>
      <w:r w:rsidR="009148E4">
        <w:t xml:space="preserve"> </w:t>
      </w:r>
      <w:r>
        <w:t>678.420(b)(2)(</w:t>
      </w:r>
      <w:proofErr w:type="spellStart"/>
      <w:r>
        <w:t>i</w:t>
      </w:r>
      <w:proofErr w:type="spellEnd"/>
      <w:r>
        <w:t>), 34 CFR 361.420(b)(2)(</w:t>
      </w:r>
      <w:proofErr w:type="spellStart"/>
      <w:r>
        <w:t>i</w:t>
      </w:r>
      <w:proofErr w:type="spellEnd"/>
      <w:r>
        <w:t xml:space="preserve">), and 34 CFR </w:t>
      </w:r>
      <w:r>
        <w:rPr>
          <w:spacing w:val="-2"/>
        </w:rPr>
        <w:t>463.420(b)(2)(</w:t>
      </w:r>
      <w:proofErr w:type="spellStart"/>
      <w:r>
        <w:rPr>
          <w:spacing w:val="-2"/>
        </w:rPr>
        <w:t>i</w:t>
      </w:r>
      <w:proofErr w:type="spellEnd"/>
      <w:r>
        <w:rPr>
          <w:spacing w:val="-2"/>
        </w:rPr>
        <w:t>)).</w:t>
      </w:r>
    </w:p>
    <w:p w14:paraId="365A9686" w14:textId="77777777" w:rsidR="00E41A5B" w:rsidRDefault="00E41A5B">
      <w:pPr>
        <w:sectPr w:rsidR="00E41A5B">
          <w:pgSz w:w="12240" w:h="15840"/>
          <w:pgMar w:top="1360" w:right="80" w:bottom="1540" w:left="140" w:header="0" w:footer="1345" w:gutter="0"/>
          <w:cols w:space="720"/>
        </w:sectPr>
      </w:pPr>
    </w:p>
    <w:p w14:paraId="365A9687" w14:textId="77777777" w:rsidR="00E41A5B" w:rsidRDefault="00DA7B02">
      <w:pPr>
        <w:pStyle w:val="BodyText"/>
        <w:spacing w:before="68"/>
        <w:ind w:left="1299" w:right="1357"/>
      </w:pPr>
      <w:r>
        <w:rPr>
          <w:b/>
        </w:rPr>
        <w:lastRenderedPageBreak/>
        <w:t xml:space="preserve">Proportionate Use. </w:t>
      </w:r>
      <w:r>
        <w:t>For the purpose of this joint policy guidance, “proportionate use” refers to a partner program contributing its fair share of the costs proportionate to: (1) the use of the one- stop center by customers that may include reportable individuals and participants in its program at that one-stop center; (2) the amount of square footage occupied by the partner program in the one-stop center; or (3) another allocation base consistent with the Uniform Guidance.</w:t>
      </w:r>
    </w:p>
    <w:p w14:paraId="365A9688" w14:textId="13B17E98" w:rsidR="00E41A5B" w:rsidRDefault="00DA7B02">
      <w:pPr>
        <w:pStyle w:val="BodyText"/>
        <w:spacing w:before="264"/>
        <w:ind w:left="1299" w:right="1356"/>
      </w:pPr>
      <w:r>
        <w:rPr>
          <w:b/>
        </w:rPr>
        <w:t xml:space="preserve">Relative Benefit. </w:t>
      </w:r>
      <w:r>
        <w:t>In determining the proportionate share, the “relative benefit” received from participating in the one-stop delivery system is another step in the cost allocation process. Determining relative benefit does not require partners to conduct an exact or absolute measurement of benefit, but instead to measure a partner’s benefit using reasonable methods.</w:t>
      </w:r>
      <w:r>
        <w:rPr>
          <w:spacing w:val="40"/>
        </w:rPr>
        <w:t xml:space="preserve"> </w:t>
      </w:r>
      <w:r>
        <w:t xml:space="preserve">The Uniform Guidance, at 2 CFR 200.4, requires that the process of assigning a cost or group of costs to one or more cost objectives must be </w:t>
      </w:r>
      <w:proofErr w:type="gramStart"/>
      <w:r>
        <w:t>in reasonable</w:t>
      </w:r>
      <w:proofErr w:type="gramEnd"/>
      <w:r>
        <w:t xml:space="preserve"> proportion to the benefit provided.</w:t>
      </w:r>
      <w:r>
        <w:rPr>
          <w:spacing w:val="40"/>
        </w:rPr>
        <w:t xml:space="preserve"> </w:t>
      </w:r>
      <w:r>
        <w:t>The measurement of a one-stop partner’s share of infrastructure costs must be based on reasonable methods that are agreed to by all partners or determined in accordance with the SFM. However, as discussed later in this guidance, partner contributions that are initially based on budgeted amounts must be reviewed and reconciled periodically</w:t>
      </w:r>
      <w:r>
        <w:rPr>
          <w:spacing w:val="-3"/>
        </w:rPr>
        <w:t xml:space="preserve"> </w:t>
      </w:r>
      <w:r>
        <w:t>during</w:t>
      </w:r>
      <w:r>
        <w:rPr>
          <w:spacing w:val="-1"/>
        </w:rPr>
        <w:t xml:space="preserve"> </w:t>
      </w:r>
      <w:r>
        <w:t>the program year against actual costs incurred. Additionally, adjustments must be made to ensure that partner</w:t>
      </w:r>
      <w:r>
        <w:rPr>
          <w:spacing w:val="40"/>
        </w:rPr>
        <w:t xml:space="preserve"> </w:t>
      </w:r>
      <w:r>
        <w:t>contributions are proportionate to their use of the one-stop center and relative benefits received</w:t>
      </w:r>
      <w:r>
        <w:rPr>
          <w:spacing w:val="40"/>
        </w:rPr>
        <w:t xml:space="preserve"> </w:t>
      </w:r>
      <w:r>
        <w:t xml:space="preserve">as required by 20 CFR </w:t>
      </w:r>
      <w:r w:rsidR="009148E4">
        <w:t>§§</w:t>
      </w:r>
      <w:r w:rsidR="009148E4">
        <w:t xml:space="preserve"> </w:t>
      </w:r>
      <w:r>
        <w:t>678.715(a)(4), 34 CFR 361.715(a)(4), and 34 CFR 463.715(a)(4).</w:t>
      </w:r>
    </w:p>
    <w:p w14:paraId="365A9689" w14:textId="05D63335" w:rsidR="00E41A5B" w:rsidRDefault="00DA7B02">
      <w:pPr>
        <w:pStyle w:val="BodyText"/>
        <w:spacing w:before="264"/>
        <w:ind w:left="1300" w:right="1357"/>
      </w:pPr>
      <w:r>
        <w:rPr>
          <w:b/>
        </w:rPr>
        <w:t xml:space="preserve">Allocation of Costs. </w:t>
      </w:r>
      <w:r>
        <w:t>Cost allocation is based upon the premise that Federal programs are to bear an equitable proportion of shared costs based on the benefit received by each program. The allocation of costs must be consistent with the Uniform Guidance. The Uniform Guidance</w:t>
      </w:r>
      <w:r>
        <w:rPr>
          <w:spacing w:val="40"/>
        </w:rPr>
        <w:t xml:space="preserve"> </w:t>
      </w:r>
      <w:r>
        <w:t xml:space="preserve">defines “allocation” at 2 CFR </w:t>
      </w:r>
      <w:r w:rsidR="009148E4">
        <w:t>§</w:t>
      </w:r>
      <w:r w:rsidR="009148E4">
        <w:t xml:space="preserve"> </w:t>
      </w:r>
      <w:r>
        <w:t xml:space="preserve">200.4 and “allocable costs” at 2 CFR </w:t>
      </w:r>
      <w:r w:rsidR="009148E4">
        <w:t>§</w:t>
      </w:r>
      <w:r w:rsidR="009148E4">
        <w:t xml:space="preserve"> </w:t>
      </w:r>
      <w:r>
        <w:t>200.405.</w:t>
      </w:r>
    </w:p>
    <w:p w14:paraId="365A968A" w14:textId="77777777" w:rsidR="00E41A5B" w:rsidRDefault="00E41A5B">
      <w:pPr>
        <w:pStyle w:val="BodyText"/>
        <w:jc w:val="left"/>
      </w:pPr>
    </w:p>
    <w:p w14:paraId="365A968B" w14:textId="77777777" w:rsidR="00E41A5B" w:rsidRDefault="00DA7B02">
      <w:pPr>
        <w:pStyle w:val="ListParagraph"/>
        <w:numPr>
          <w:ilvl w:val="0"/>
          <w:numId w:val="22"/>
        </w:numPr>
        <w:tabs>
          <w:tab w:val="left" w:pos="1671"/>
        </w:tabs>
        <w:ind w:left="1299" w:right="1355" w:firstLine="0"/>
        <w:rPr>
          <w:sz w:val="24"/>
        </w:rPr>
      </w:pPr>
      <w:r>
        <w:rPr>
          <w:b/>
          <w:sz w:val="24"/>
          <w:u w:val="single"/>
        </w:rPr>
        <w:t>Allocation Methodologies</w:t>
      </w:r>
      <w:r>
        <w:rPr>
          <w:b/>
          <w:sz w:val="24"/>
        </w:rPr>
        <w:t>.</w:t>
      </w:r>
      <w:r>
        <w:rPr>
          <w:b/>
          <w:spacing w:val="40"/>
          <w:sz w:val="24"/>
        </w:rPr>
        <w:t xml:space="preserve"> </w:t>
      </w:r>
      <w:r>
        <w:rPr>
          <w:sz w:val="24"/>
        </w:rPr>
        <w:t>The specific methodologies used to allocate costs among the one-stop partners are not prescribed in WIOA, its implementing regulations, the Uniform Guidance, or in this joint policy guidance. Each local one-stop delivery system is unique and presents a different set of circumstances within which costs are allocated. Rather, when developing the local MOU, LWDBs and partner agencies may choose from any number of methods, provided they are consistent with WIOA, its implementing regulations, and the</w:t>
      </w:r>
      <w:r>
        <w:rPr>
          <w:spacing w:val="40"/>
          <w:sz w:val="24"/>
        </w:rPr>
        <w:t xml:space="preserve"> </w:t>
      </w:r>
      <w:r>
        <w:rPr>
          <w:sz w:val="24"/>
        </w:rPr>
        <w:t xml:space="preserve">Uniform Guidance, including the Federal Cost Principles. In selecting methodologies used to allocate costs, LWDBs and one-stop partners may also consider whether it is necessary to allocate costs by each one-stop center separately. For instance, the budget for operating an affiliate one-stop center may be less than the operating budget for a comprehensive one-stop center because the affiliate one-stop center includes one or more, but not all, one-stop partner </w:t>
      </w:r>
      <w:r>
        <w:rPr>
          <w:spacing w:val="-2"/>
          <w:sz w:val="24"/>
        </w:rPr>
        <w:t>programs.</w:t>
      </w:r>
    </w:p>
    <w:p w14:paraId="365A968C" w14:textId="77777777" w:rsidR="00E41A5B" w:rsidRDefault="00E41A5B">
      <w:pPr>
        <w:pStyle w:val="BodyText"/>
        <w:jc w:val="left"/>
      </w:pPr>
    </w:p>
    <w:p w14:paraId="365A968D" w14:textId="77777777" w:rsidR="00E41A5B" w:rsidRDefault="00DA7B02">
      <w:pPr>
        <w:pStyle w:val="BodyText"/>
        <w:ind w:left="1300" w:right="1356"/>
      </w:pPr>
      <w:r>
        <w:t>In this preliminary stage, the partners: (1) determine the infrastructure costs budget and the budget(s) for additional costs, which must include career services and may include shared services and</w:t>
      </w:r>
      <w:r>
        <w:rPr>
          <w:spacing w:val="-1"/>
        </w:rPr>
        <w:t xml:space="preserve"> </w:t>
      </w:r>
      <w:r>
        <w:t>shared</w:t>
      </w:r>
      <w:r>
        <w:rPr>
          <w:spacing w:val="-1"/>
        </w:rPr>
        <w:t xml:space="preserve"> </w:t>
      </w:r>
      <w:r>
        <w:t>operating</w:t>
      </w:r>
      <w:r>
        <w:rPr>
          <w:spacing w:val="-3"/>
        </w:rPr>
        <w:t xml:space="preserve"> </w:t>
      </w:r>
      <w:r>
        <w:t>costs</w:t>
      </w:r>
      <w:r>
        <w:rPr>
          <w:spacing w:val="-1"/>
        </w:rPr>
        <w:t xml:space="preserve"> </w:t>
      </w:r>
      <w:r>
        <w:t>for</w:t>
      </w:r>
      <w:r>
        <w:rPr>
          <w:spacing w:val="-2"/>
        </w:rPr>
        <w:t xml:space="preserve"> </w:t>
      </w:r>
      <w:r>
        <w:t>a</w:t>
      </w:r>
      <w:r>
        <w:rPr>
          <w:spacing w:val="-2"/>
        </w:rPr>
        <w:t xml:space="preserve"> </w:t>
      </w:r>
      <w:r>
        <w:t>particular</w:t>
      </w:r>
      <w:r>
        <w:rPr>
          <w:spacing w:val="-2"/>
        </w:rPr>
        <w:t xml:space="preserve"> </w:t>
      </w:r>
      <w:r>
        <w:t>comprehensive</w:t>
      </w:r>
      <w:r>
        <w:rPr>
          <w:spacing w:val="-2"/>
        </w:rPr>
        <w:t xml:space="preserve"> </w:t>
      </w:r>
      <w:r>
        <w:t>one-stop</w:t>
      </w:r>
      <w:r>
        <w:rPr>
          <w:spacing w:val="-1"/>
        </w:rPr>
        <w:t xml:space="preserve"> </w:t>
      </w:r>
      <w:r>
        <w:t>center;</w:t>
      </w:r>
      <w:r>
        <w:rPr>
          <w:spacing w:val="-1"/>
        </w:rPr>
        <w:t xml:space="preserve"> </w:t>
      </w:r>
      <w:r>
        <w:t>(2)</w:t>
      </w:r>
      <w:r>
        <w:rPr>
          <w:spacing w:val="-2"/>
        </w:rPr>
        <w:t xml:space="preserve"> </w:t>
      </w:r>
      <w:r>
        <w:t>determine which methodologies are reasonable and acceptable; and (3) from the acceptable methodologies, select the methodology</w:t>
      </w:r>
      <w:r>
        <w:rPr>
          <w:spacing w:val="-5"/>
        </w:rPr>
        <w:t xml:space="preserve"> </w:t>
      </w:r>
      <w:r>
        <w:t>(or</w:t>
      </w:r>
      <w:r>
        <w:rPr>
          <w:spacing w:val="-1"/>
        </w:rPr>
        <w:t xml:space="preserve"> </w:t>
      </w:r>
      <w:r>
        <w:t>methodologies)</w:t>
      </w:r>
      <w:r>
        <w:rPr>
          <w:spacing w:val="-1"/>
        </w:rPr>
        <w:t xml:space="preserve"> </w:t>
      </w:r>
      <w:r>
        <w:t>that will be</w:t>
      </w:r>
      <w:r>
        <w:rPr>
          <w:spacing w:val="-1"/>
        </w:rPr>
        <w:t xml:space="preserve"> </w:t>
      </w:r>
      <w:r>
        <w:t>applied to the</w:t>
      </w:r>
      <w:r>
        <w:rPr>
          <w:spacing w:val="-1"/>
        </w:rPr>
        <w:t xml:space="preserve"> </w:t>
      </w:r>
      <w:r>
        <w:t>different cost categories. In other words, the partners are selecting the appropriate distribution base(s) under which they allocate</w:t>
      </w:r>
      <w:r>
        <w:rPr>
          <w:spacing w:val="19"/>
        </w:rPr>
        <w:t xml:space="preserve"> </w:t>
      </w:r>
      <w:r>
        <w:t>infrastructure</w:t>
      </w:r>
      <w:r>
        <w:rPr>
          <w:spacing w:val="21"/>
        </w:rPr>
        <w:t xml:space="preserve"> </w:t>
      </w:r>
      <w:r>
        <w:t>and</w:t>
      </w:r>
      <w:r>
        <w:rPr>
          <w:spacing w:val="22"/>
        </w:rPr>
        <w:t xml:space="preserve"> </w:t>
      </w:r>
      <w:r>
        <w:t>additional</w:t>
      </w:r>
      <w:r>
        <w:rPr>
          <w:spacing w:val="22"/>
        </w:rPr>
        <w:t xml:space="preserve"> </w:t>
      </w:r>
      <w:r>
        <w:t>costs.</w:t>
      </w:r>
      <w:r>
        <w:rPr>
          <w:spacing w:val="19"/>
        </w:rPr>
        <w:t xml:space="preserve"> </w:t>
      </w:r>
      <w:r>
        <w:t>Partner</w:t>
      </w:r>
      <w:r>
        <w:rPr>
          <w:spacing w:val="21"/>
        </w:rPr>
        <w:t xml:space="preserve"> </w:t>
      </w:r>
      <w:r>
        <w:t>programs</w:t>
      </w:r>
      <w:r>
        <w:rPr>
          <w:spacing w:val="22"/>
        </w:rPr>
        <w:t xml:space="preserve"> </w:t>
      </w:r>
      <w:r>
        <w:t>may</w:t>
      </w:r>
      <w:r>
        <w:rPr>
          <w:spacing w:val="17"/>
        </w:rPr>
        <w:t xml:space="preserve"> </w:t>
      </w:r>
      <w:r>
        <w:t>agree</w:t>
      </w:r>
      <w:r>
        <w:rPr>
          <w:spacing w:val="21"/>
        </w:rPr>
        <w:t xml:space="preserve"> </w:t>
      </w:r>
      <w:r>
        <w:t>to</w:t>
      </w:r>
      <w:r>
        <w:rPr>
          <w:spacing w:val="22"/>
        </w:rPr>
        <w:t xml:space="preserve"> </w:t>
      </w:r>
      <w:r>
        <w:t>select</w:t>
      </w:r>
      <w:r>
        <w:rPr>
          <w:spacing w:val="22"/>
        </w:rPr>
        <w:t xml:space="preserve"> </w:t>
      </w:r>
      <w:r>
        <w:t>different</w:t>
      </w:r>
      <w:r>
        <w:rPr>
          <w:spacing w:val="23"/>
        </w:rPr>
        <w:t xml:space="preserve"> </w:t>
      </w:r>
      <w:proofErr w:type="gramStart"/>
      <w:r>
        <w:rPr>
          <w:spacing w:val="-4"/>
        </w:rPr>
        <w:t>cost</w:t>
      </w:r>
      <w:proofErr w:type="gramEnd"/>
    </w:p>
    <w:p w14:paraId="365A968E" w14:textId="77777777" w:rsidR="00E41A5B" w:rsidRDefault="00E41A5B">
      <w:pPr>
        <w:sectPr w:rsidR="00E41A5B">
          <w:pgSz w:w="12240" w:h="15840"/>
          <w:pgMar w:top="1640" w:right="80" w:bottom="1540" w:left="140" w:header="0" w:footer="1345" w:gutter="0"/>
          <w:cols w:space="720"/>
        </w:sectPr>
      </w:pPr>
    </w:p>
    <w:p w14:paraId="365A968F" w14:textId="77777777" w:rsidR="00E41A5B" w:rsidRDefault="00DA7B02">
      <w:pPr>
        <w:pStyle w:val="BodyText"/>
        <w:spacing w:before="72"/>
        <w:ind w:left="1300" w:right="1356"/>
      </w:pPr>
      <w:r>
        <w:lastRenderedPageBreak/>
        <w:t>allocation methodologies and allocation or distribution bases for cost objectives within infrastructure costs and additional costs, such as applicable career services, shared operating costs, and shared services categories. Partners should focus on identifying methodologies that most effectively</w:t>
      </w:r>
      <w:r>
        <w:rPr>
          <w:spacing w:val="-3"/>
        </w:rPr>
        <w:t xml:space="preserve"> </w:t>
      </w:r>
      <w:r>
        <w:t>allocate costs based upon proportionate use and relative benefits received by</w:t>
      </w:r>
      <w:r>
        <w:rPr>
          <w:spacing w:val="-3"/>
        </w:rPr>
        <w:t xml:space="preserve"> </w:t>
      </w:r>
      <w:r>
        <w:t xml:space="preserve">the </w:t>
      </w:r>
      <w:r>
        <w:rPr>
          <w:spacing w:val="-2"/>
        </w:rPr>
        <w:t>partners.</w:t>
      </w:r>
    </w:p>
    <w:p w14:paraId="365A9690" w14:textId="77777777" w:rsidR="00E41A5B" w:rsidRDefault="00DA7B02">
      <w:pPr>
        <w:pStyle w:val="BodyText"/>
        <w:spacing w:before="185"/>
        <w:ind w:left="1300" w:right="1357"/>
        <w:jc w:val="left"/>
      </w:pPr>
      <w:r>
        <w:t>The</w:t>
      </w:r>
      <w:r>
        <w:rPr>
          <w:spacing w:val="-4"/>
        </w:rPr>
        <w:t xml:space="preserve"> </w:t>
      </w:r>
      <w:r>
        <w:t>negotiations</w:t>
      </w:r>
      <w:r>
        <w:rPr>
          <w:spacing w:val="-3"/>
        </w:rPr>
        <w:t xml:space="preserve"> </w:t>
      </w:r>
      <w:proofErr w:type="gramStart"/>
      <w:r>
        <w:t>of</w:t>
      </w:r>
      <w:proofErr w:type="gramEnd"/>
      <w:r>
        <w:rPr>
          <w:spacing w:val="-4"/>
        </w:rPr>
        <w:t xml:space="preserve"> </w:t>
      </w:r>
      <w:r>
        <w:t>cost</w:t>
      </w:r>
      <w:r>
        <w:rPr>
          <w:spacing w:val="-1"/>
        </w:rPr>
        <w:t xml:space="preserve"> </w:t>
      </w:r>
      <w:r>
        <w:t>sharing</w:t>
      </w:r>
      <w:r>
        <w:rPr>
          <w:spacing w:val="-3"/>
        </w:rPr>
        <w:t xml:space="preserve"> </w:t>
      </w:r>
      <w:r>
        <w:t>and</w:t>
      </w:r>
      <w:r>
        <w:rPr>
          <w:spacing w:val="-3"/>
        </w:rPr>
        <w:t xml:space="preserve"> </w:t>
      </w:r>
      <w:r>
        <w:t>allocation</w:t>
      </w:r>
      <w:r>
        <w:rPr>
          <w:spacing w:val="-3"/>
        </w:rPr>
        <w:t xml:space="preserve"> </w:t>
      </w:r>
      <w:r>
        <w:t>among</w:t>
      </w:r>
      <w:r>
        <w:rPr>
          <w:spacing w:val="-6"/>
        </w:rPr>
        <w:t xml:space="preserve"> </w:t>
      </w:r>
      <w:r>
        <w:t>partners</w:t>
      </w:r>
      <w:r>
        <w:rPr>
          <w:spacing w:val="-3"/>
        </w:rPr>
        <w:t xml:space="preserve"> </w:t>
      </w:r>
      <w:r>
        <w:t>must</w:t>
      </w:r>
      <w:r>
        <w:rPr>
          <w:spacing w:val="-3"/>
        </w:rPr>
        <w:t xml:space="preserve"> </w:t>
      </w:r>
      <w:r>
        <w:t>be</w:t>
      </w:r>
      <w:r>
        <w:rPr>
          <w:spacing w:val="-4"/>
        </w:rPr>
        <w:t xml:space="preserve"> </w:t>
      </w:r>
      <w:r>
        <w:t>conducted</w:t>
      </w:r>
      <w:r>
        <w:rPr>
          <w:spacing w:val="-3"/>
        </w:rPr>
        <w:t xml:space="preserve"> </w:t>
      </w:r>
      <w:r>
        <w:t>in</w:t>
      </w:r>
      <w:r>
        <w:rPr>
          <w:spacing w:val="-3"/>
        </w:rPr>
        <w:t xml:space="preserve"> </w:t>
      </w:r>
      <w:r>
        <w:t>good</w:t>
      </w:r>
      <w:r>
        <w:rPr>
          <w:spacing w:val="-1"/>
        </w:rPr>
        <w:t xml:space="preserve"> </w:t>
      </w:r>
      <w:r>
        <w:t>faith and in an open and transparent environment, where full disclosure of costs and funding</w:t>
      </w:r>
      <w:r>
        <w:rPr>
          <w:spacing w:val="40"/>
        </w:rPr>
        <w:t xml:space="preserve"> </w:t>
      </w:r>
      <w:r>
        <w:t>is essential to this process. Because of the need to provide maximum flexibility to accommodate various organization structures, costs, and budgets in local areas, there is no single method prescribed for allocating costs.</w:t>
      </w:r>
    </w:p>
    <w:p w14:paraId="365A9691" w14:textId="77777777" w:rsidR="00E41A5B" w:rsidRDefault="00DA7B02">
      <w:pPr>
        <w:pStyle w:val="BodyText"/>
        <w:spacing w:before="182"/>
        <w:ind w:left="1300" w:right="1358"/>
      </w:pPr>
      <w:r>
        <w:t>In</w:t>
      </w:r>
      <w:r>
        <w:rPr>
          <w:spacing w:val="-1"/>
        </w:rPr>
        <w:t xml:space="preserve"> </w:t>
      </w:r>
      <w:r>
        <w:t>selecting</w:t>
      </w:r>
      <w:r>
        <w:rPr>
          <w:spacing w:val="-3"/>
        </w:rPr>
        <w:t xml:space="preserve"> </w:t>
      </w:r>
      <w:r>
        <w:t>a</w:t>
      </w:r>
      <w:r>
        <w:rPr>
          <w:spacing w:val="-2"/>
        </w:rPr>
        <w:t xml:space="preserve"> </w:t>
      </w:r>
      <w:r>
        <w:t>method</w:t>
      </w:r>
      <w:r>
        <w:rPr>
          <w:spacing w:val="-1"/>
        </w:rPr>
        <w:t xml:space="preserve"> </w:t>
      </w:r>
      <w:r>
        <w:t>to allocate</w:t>
      </w:r>
      <w:r>
        <w:rPr>
          <w:spacing w:val="-2"/>
        </w:rPr>
        <w:t xml:space="preserve"> </w:t>
      </w:r>
      <w:r>
        <w:t>infrastructure</w:t>
      </w:r>
      <w:r>
        <w:rPr>
          <w:spacing w:val="-2"/>
        </w:rPr>
        <w:t xml:space="preserve"> </w:t>
      </w:r>
      <w:r>
        <w:t>and</w:t>
      </w:r>
      <w:r>
        <w:rPr>
          <w:spacing w:val="-1"/>
        </w:rPr>
        <w:t xml:space="preserve"> </w:t>
      </w:r>
      <w:r>
        <w:t>additional</w:t>
      </w:r>
      <w:r>
        <w:rPr>
          <w:spacing w:val="-1"/>
        </w:rPr>
        <w:t xml:space="preserve"> </w:t>
      </w:r>
      <w:r>
        <w:t>costs,</w:t>
      </w:r>
      <w:r>
        <w:rPr>
          <w:spacing w:val="-1"/>
        </w:rPr>
        <w:t xml:space="preserve"> </w:t>
      </w:r>
      <w:r>
        <w:t>consider</w:t>
      </w:r>
      <w:r>
        <w:rPr>
          <w:spacing w:val="-2"/>
        </w:rPr>
        <w:t xml:space="preserve"> </w:t>
      </w:r>
      <w:r>
        <w:t>the</w:t>
      </w:r>
      <w:r>
        <w:rPr>
          <w:spacing w:val="-2"/>
        </w:rPr>
        <w:t xml:space="preserve"> </w:t>
      </w:r>
      <w:r>
        <w:t>additional</w:t>
      </w:r>
      <w:r>
        <w:rPr>
          <w:spacing w:val="-1"/>
        </w:rPr>
        <w:t xml:space="preserve"> </w:t>
      </w:r>
      <w:r>
        <w:t>effort and expense required to achieve a greater degree of accuracy. General criteria that should be</w:t>
      </w:r>
      <w:r>
        <w:rPr>
          <w:spacing w:val="40"/>
        </w:rPr>
        <w:t xml:space="preserve"> </w:t>
      </w:r>
      <w:r>
        <w:t>used in selecting an allocation base include the following:</w:t>
      </w:r>
    </w:p>
    <w:p w14:paraId="365A9692" w14:textId="5FB75116" w:rsidR="00E41A5B" w:rsidRDefault="00DA7B02">
      <w:pPr>
        <w:pStyle w:val="ListParagraph"/>
        <w:numPr>
          <w:ilvl w:val="1"/>
          <w:numId w:val="22"/>
        </w:numPr>
        <w:tabs>
          <w:tab w:val="left" w:pos="2019"/>
        </w:tabs>
        <w:spacing w:before="187"/>
        <w:ind w:left="2019" w:right="1356"/>
        <w:rPr>
          <w:sz w:val="24"/>
        </w:rPr>
      </w:pPr>
      <w:r>
        <w:rPr>
          <w:b/>
          <w:sz w:val="24"/>
        </w:rPr>
        <w:t xml:space="preserve">Allocation Bases. </w:t>
      </w:r>
      <w:r>
        <w:rPr>
          <w:sz w:val="24"/>
        </w:rPr>
        <w:t xml:space="preserve">When costs cannot be directly assigned to a final cost objective, the costs are placed in a pool that will be allocated </w:t>
      </w:r>
      <w:proofErr w:type="gramStart"/>
      <w:r>
        <w:rPr>
          <w:sz w:val="24"/>
        </w:rPr>
        <w:t>at a later time</w:t>
      </w:r>
      <w:proofErr w:type="gramEnd"/>
      <w:r>
        <w:rPr>
          <w:sz w:val="24"/>
        </w:rPr>
        <w:t xml:space="preserve"> to the benefiting partner programs. A cost pool contains a group of common costs to be allocated by using an indirect or approximate measure of benefit. The approximate measure of benefit is the allocation base. An allocation base is the method of documentation used to measure the extent of benefits received when allocating joint costs among multiple cost objectives. Many d</w:t>
      </w:r>
      <w:r>
        <w:rPr>
          <w:sz w:val="24"/>
        </w:rPr>
        <w:t>ifferent types of bases can be used in allocating costs. The most appropriate base will vary depending on the circumstances. One-stop partner programs may agree to use several different bases for allocating different types of costs in the one-stop center. A local area may allocate costs differently among one-stop centers in that local area. Acceptable methods for distributing pooled costs may vary by type of organization, functional units, or levels within an organization, types of cost to be allocated, and</w:t>
      </w:r>
      <w:r>
        <w:rPr>
          <w:sz w:val="24"/>
        </w:rPr>
        <w:t xml:space="preserve"> cost category. The basis used to allocate a particular type of cost must be used consistently over time (2 CFR </w:t>
      </w:r>
      <w:r w:rsidR="009148E4" w:rsidRPr="009148E4">
        <w:rPr>
          <w:sz w:val="24"/>
          <w:szCs w:val="24"/>
        </w:rPr>
        <w:t>§</w:t>
      </w:r>
      <w:r w:rsidR="009148E4">
        <w:t xml:space="preserve"> </w:t>
      </w:r>
      <w:r>
        <w:rPr>
          <w:sz w:val="24"/>
        </w:rPr>
        <w:t>200.403(d)).</w:t>
      </w:r>
    </w:p>
    <w:p w14:paraId="365A9693" w14:textId="77777777" w:rsidR="00E41A5B" w:rsidRDefault="00DA7B02">
      <w:pPr>
        <w:pStyle w:val="ListParagraph"/>
        <w:numPr>
          <w:ilvl w:val="1"/>
          <w:numId w:val="22"/>
        </w:numPr>
        <w:tabs>
          <w:tab w:val="left" w:pos="2020"/>
        </w:tabs>
        <w:spacing w:before="184"/>
        <w:ind w:left="2020" w:right="1356"/>
        <w:rPr>
          <w:sz w:val="24"/>
        </w:rPr>
      </w:pPr>
      <w:r>
        <w:rPr>
          <w:b/>
          <w:sz w:val="24"/>
        </w:rPr>
        <w:t>Inputs.</w:t>
      </w:r>
      <w:r>
        <w:rPr>
          <w:b/>
          <w:spacing w:val="-2"/>
          <w:sz w:val="24"/>
        </w:rPr>
        <w:t xml:space="preserve"> </w:t>
      </w:r>
      <w:r>
        <w:rPr>
          <w:sz w:val="24"/>
        </w:rPr>
        <w:t>The</w:t>
      </w:r>
      <w:r>
        <w:rPr>
          <w:spacing w:val="-3"/>
          <w:sz w:val="24"/>
        </w:rPr>
        <w:t xml:space="preserve"> </w:t>
      </w:r>
      <w:r>
        <w:rPr>
          <w:sz w:val="24"/>
        </w:rPr>
        <w:t>Departments</w:t>
      </w:r>
      <w:r>
        <w:rPr>
          <w:spacing w:val="-2"/>
          <w:sz w:val="24"/>
        </w:rPr>
        <w:t xml:space="preserve"> </w:t>
      </w:r>
      <w:r>
        <w:rPr>
          <w:sz w:val="24"/>
        </w:rPr>
        <w:t>consider</w:t>
      </w:r>
      <w:r>
        <w:rPr>
          <w:spacing w:val="-1"/>
          <w:sz w:val="24"/>
        </w:rPr>
        <w:t xml:space="preserve"> </w:t>
      </w:r>
      <w:r>
        <w:rPr>
          <w:sz w:val="24"/>
        </w:rPr>
        <w:t>inputs</w:t>
      </w:r>
      <w:r>
        <w:rPr>
          <w:spacing w:val="-2"/>
          <w:sz w:val="24"/>
        </w:rPr>
        <w:t xml:space="preserve"> </w:t>
      </w:r>
      <w:r>
        <w:rPr>
          <w:sz w:val="24"/>
        </w:rPr>
        <w:t>–</w:t>
      </w:r>
      <w:r>
        <w:rPr>
          <w:spacing w:val="-2"/>
          <w:sz w:val="24"/>
        </w:rPr>
        <w:t xml:space="preserve"> </w:t>
      </w:r>
      <w:r>
        <w:rPr>
          <w:sz w:val="24"/>
        </w:rPr>
        <w:t>the</w:t>
      </w:r>
      <w:r>
        <w:rPr>
          <w:spacing w:val="-1"/>
          <w:sz w:val="24"/>
        </w:rPr>
        <w:t xml:space="preserve"> </w:t>
      </w:r>
      <w:proofErr w:type="gramStart"/>
      <w:r>
        <w:rPr>
          <w:sz w:val="24"/>
        </w:rPr>
        <w:t>most</w:t>
      </w:r>
      <w:r>
        <w:rPr>
          <w:spacing w:val="-2"/>
          <w:sz w:val="24"/>
        </w:rPr>
        <w:t xml:space="preserve"> </w:t>
      </w:r>
      <w:r>
        <w:rPr>
          <w:sz w:val="24"/>
        </w:rPr>
        <w:t>commonly</w:t>
      </w:r>
      <w:r>
        <w:rPr>
          <w:spacing w:val="-7"/>
          <w:sz w:val="24"/>
        </w:rPr>
        <w:t xml:space="preserve"> </w:t>
      </w:r>
      <w:r>
        <w:rPr>
          <w:sz w:val="24"/>
        </w:rPr>
        <w:t>used</w:t>
      </w:r>
      <w:proofErr w:type="gramEnd"/>
      <w:r>
        <w:rPr>
          <w:sz w:val="24"/>
        </w:rPr>
        <w:t xml:space="preserve"> allocation</w:t>
      </w:r>
      <w:r>
        <w:rPr>
          <w:spacing w:val="-2"/>
          <w:sz w:val="24"/>
        </w:rPr>
        <w:t xml:space="preserve"> </w:t>
      </w:r>
      <w:r>
        <w:rPr>
          <w:sz w:val="24"/>
        </w:rPr>
        <w:t>bases</w:t>
      </w:r>
      <w:r>
        <w:rPr>
          <w:spacing w:val="-2"/>
          <w:sz w:val="24"/>
        </w:rPr>
        <w:t xml:space="preserve"> </w:t>
      </w:r>
      <w:r>
        <w:rPr>
          <w:sz w:val="24"/>
        </w:rPr>
        <w:t xml:space="preserve">– to be the resources used in a process, activity, or service. Using inputs, the cost is allocated at the same time it is </w:t>
      </w:r>
      <w:proofErr w:type="gramStart"/>
      <w:r>
        <w:rPr>
          <w:sz w:val="24"/>
        </w:rPr>
        <w:t>incurred</w:t>
      </w:r>
      <w:proofErr w:type="gramEnd"/>
      <w:r>
        <w:rPr>
          <w:sz w:val="24"/>
        </w:rPr>
        <w:t xml:space="preserve"> and the usage must be documented. Examples of input bases include: (1) staff time allocated </w:t>
      </w:r>
      <w:proofErr w:type="gramStart"/>
      <w:r>
        <w:rPr>
          <w:sz w:val="24"/>
        </w:rPr>
        <w:t>on the basis of</w:t>
      </w:r>
      <w:proofErr w:type="gramEnd"/>
      <w:r>
        <w:rPr>
          <w:sz w:val="24"/>
        </w:rPr>
        <w:t xml:space="preserve"> time sheets and time distribution records; (2) facilities allocated </w:t>
      </w:r>
      <w:proofErr w:type="gramStart"/>
      <w:r>
        <w:rPr>
          <w:sz w:val="24"/>
        </w:rPr>
        <w:t>on the basis of</w:t>
      </w:r>
      <w:proofErr w:type="gramEnd"/>
      <w:r>
        <w:rPr>
          <w:sz w:val="24"/>
        </w:rPr>
        <w:t xml:space="preserve"> square footage; (3) accounting services allocated </w:t>
      </w:r>
      <w:proofErr w:type="gramStart"/>
      <w:r>
        <w:rPr>
          <w:sz w:val="24"/>
        </w:rPr>
        <w:t>on the basis of</w:t>
      </w:r>
      <w:proofErr w:type="gramEnd"/>
      <w:r>
        <w:rPr>
          <w:sz w:val="24"/>
        </w:rPr>
        <w:t xml:space="preserve"> transactions; and (4) equipment or supplies allocated based on </w:t>
      </w:r>
      <w:r>
        <w:rPr>
          <w:spacing w:val="-2"/>
          <w:sz w:val="24"/>
        </w:rPr>
        <w:t>usage.</w:t>
      </w:r>
    </w:p>
    <w:p w14:paraId="365A9694" w14:textId="77777777" w:rsidR="00E41A5B" w:rsidRDefault="00DA7B02">
      <w:pPr>
        <w:pStyle w:val="ListParagraph"/>
        <w:numPr>
          <w:ilvl w:val="1"/>
          <w:numId w:val="22"/>
        </w:numPr>
        <w:tabs>
          <w:tab w:val="left" w:pos="2019"/>
        </w:tabs>
        <w:spacing w:before="181"/>
        <w:ind w:left="2019" w:right="1357"/>
        <w:rPr>
          <w:sz w:val="24"/>
        </w:rPr>
      </w:pPr>
      <w:r>
        <w:rPr>
          <w:b/>
          <w:sz w:val="24"/>
        </w:rPr>
        <w:t xml:space="preserve">Outputs. </w:t>
      </w:r>
      <w:r>
        <w:rPr>
          <w:sz w:val="24"/>
        </w:rPr>
        <w:t xml:space="preserve">The Departments consider </w:t>
      </w:r>
      <w:proofErr w:type="gramStart"/>
      <w:r>
        <w:rPr>
          <w:sz w:val="24"/>
        </w:rPr>
        <w:t>outputs</w:t>
      </w:r>
      <w:proofErr w:type="gramEnd"/>
      <w:r>
        <w:rPr>
          <w:sz w:val="24"/>
        </w:rPr>
        <w:t xml:space="preserve"> to be the results of an activity or service. Examples of output allocation bases include: (1) participants and reportable individuals under a specific program; (2) number of customers who are obtaining employment after self-directed job search; and (3) number of customers receiving a specific career service. One of the issues associated with output-based allocations is that they will vary over</w:t>
      </w:r>
      <w:r>
        <w:rPr>
          <w:spacing w:val="40"/>
          <w:sz w:val="24"/>
        </w:rPr>
        <w:t xml:space="preserve"> </w:t>
      </w:r>
      <w:r>
        <w:rPr>
          <w:sz w:val="24"/>
        </w:rPr>
        <w:t>time, usually</w:t>
      </w:r>
      <w:r>
        <w:rPr>
          <w:spacing w:val="-3"/>
          <w:sz w:val="24"/>
        </w:rPr>
        <w:t xml:space="preserve"> </w:t>
      </w:r>
      <w:r>
        <w:rPr>
          <w:sz w:val="24"/>
        </w:rPr>
        <w:t>based on client flow. For this reason, output-based allocations may</w:t>
      </w:r>
      <w:r>
        <w:rPr>
          <w:spacing w:val="-1"/>
          <w:sz w:val="24"/>
        </w:rPr>
        <w:t xml:space="preserve"> </w:t>
      </w:r>
      <w:r>
        <w:rPr>
          <w:sz w:val="24"/>
        </w:rPr>
        <w:t>result in large changes in the resources needed to fund the pooled costs when the budgets are adjusted to actual costs and, therefore, should be used with caution.</w:t>
      </w:r>
    </w:p>
    <w:p w14:paraId="365A9695" w14:textId="77777777" w:rsidR="00E41A5B" w:rsidRDefault="00E41A5B">
      <w:pPr>
        <w:jc w:val="both"/>
        <w:rPr>
          <w:sz w:val="24"/>
        </w:rPr>
        <w:sectPr w:rsidR="00E41A5B">
          <w:pgSz w:w="12240" w:h="15840"/>
          <w:pgMar w:top="1360" w:right="80" w:bottom="1540" w:left="140" w:header="0" w:footer="1345" w:gutter="0"/>
          <w:cols w:space="720"/>
        </w:sectPr>
      </w:pPr>
    </w:p>
    <w:p w14:paraId="365A9696" w14:textId="77777777" w:rsidR="00E41A5B" w:rsidRDefault="00DA7B02">
      <w:pPr>
        <w:pStyle w:val="BodyText"/>
        <w:spacing w:before="72"/>
        <w:ind w:left="1300" w:right="1355"/>
      </w:pPr>
      <w:r>
        <w:lastRenderedPageBreak/>
        <w:t>An allocation base is acceptable if it represents a fair measure of cost benefit and if it results in</w:t>
      </w:r>
      <w:r>
        <w:rPr>
          <w:spacing w:val="40"/>
        </w:rPr>
        <w:t xml:space="preserve"> </w:t>
      </w:r>
      <w:r>
        <w:t>an equitable and reasonable distribution of the costs of services rendered or goods provided.</w:t>
      </w:r>
      <w:r>
        <w:rPr>
          <w:spacing w:val="40"/>
        </w:rPr>
        <w:t xml:space="preserve"> </w:t>
      </w:r>
      <w:r>
        <w:t xml:space="preserve">Each base should be considered on its own merits as to the purpose </w:t>
      </w:r>
      <w:proofErr w:type="gramStart"/>
      <w:r>
        <w:t>for</w:t>
      </w:r>
      <w:proofErr w:type="gramEnd"/>
      <w:r>
        <w:t xml:space="preserve"> using it and the degree of equity and reasonableness it will achieve in allocating infrastructure or additional costs. The Departments consider the following to be standards for acceptable bases:</w:t>
      </w:r>
    </w:p>
    <w:p w14:paraId="365A9697" w14:textId="77777777" w:rsidR="00E41A5B" w:rsidRDefault="00E41A5B">
      <w:pPr>
        <w:pStyle w:val="BodyText"/>
        <w:jc w:val="left"/>
      </w:pPr>
    </w:p>
    <w:p w14:paraId="365A9698" w14:textId="77777777" w:rsidR="00E41A5B" w:rsidRDefault="00DA7B02">
      <w:pPr>
        <w:pStyle w:val="BodyText"/>
        <w:ind w:left="1660" w:right="1359"/>
      </w:pPr>
      <w:r>
        <w:rPr>
          <w:b/>
        </w:rPr>
        <w:t xml:space="preserve">Minimal Distortion. </w:t>
      </w:r>
      <w:r>
        <w:t>The base should allocate costs in a fair and equitable manner without distorting</w:t>
      </w:r>
      <w:r>
        <w:rPr>
          <w:spacing w:val="-2"/>
        </w:rPr>
        <w:t xml:space="preserve"> </w:t>
      </w:r>
      <w:r>
        <w:t>the</w:t>
      </w:r>
      <w:r>
        <w:rPr>
          <w:spacing w:val="-1"/>
        </w:rPr>
        <w:t xml:space="preserve"> </w:t>
      </w:r>
      <w:r>
        <w:t>results.</w:t>
      </w:r>
      <w:r>
        <w:rPr>
          <w:spacing w:val="-1"/>
        </w:rPr>
        <w:t xml:space="preserve"> </w:t>
      </w:r>
      <w:r>
        <w:t>This</w:t>
      </w:r>
      <w:r>
        <w:rPr>
          <w:spacing w:val="-1"/>
        </w:rPr>
        <w:t xml:space="preserve"> </w:t>
      </w:r>
      <w:r>
        <w:t>requires</w:t>
      </w:r>
      <w:r>
        <w:rPr>
          <w:spacing w:val="-1"/>
        </w:rPr>
        <w:t xml:space="preserve"> </w:t>
      </w:r>
      <w:r>
        <w:t>that</w:t>
      </w:r>
      <w:r>
        <w:rPr>
          <w:spacing w:val="-1"/>
        </w:rPr>
        <w:t xml:space="preserve"> </w:t>
      </w:r>
      <w:r>
        <w:t>the</w:t>
      </w:r>
      <w:r>
        <w:rPr>
          <w:spacing w:val="-1"/>
        </w:rPr>
        <w:t xml:space="preserve"> </w:t>
      </w:r>
      <w:r>
        <w:t>base</w:t>
      </w:r>
      <w:r>
        <w:rPr>
          <w:spacing w:val="-1"/>
        </w:rPr>
        <w:t xml:space="preserve"> </w:t>
      </w:r>
      <w:r>
        <w:t>be</w:t>
      </w:r>
      <w:r>
        <w:rPr>
          <w:spacing w:val="-1"/>
        </w:rPr>
        <w:t xml:space="preserve"> </w:t>
      </w:r>
      <w:r>
        <w:t>as</w:t>
      </w:r>
      <w:r>
        <w:rPr>
          <w:spacing w:val="-1"/>
        </w:rPr>
        <w:t xml:space="preserve"> </w:t>
      </w:r>
      <w:proofErr w:type="gramStart"/>
      <w:r>
        <w:t>causally</w:t>
      </w:r>
      <w:proofErr w:type="gramEnd"/>
      <w:r>
        <w:rPr>
          <w:spacing w:val="-7"/>
        </w:rPr>
        <w:t xml:space="preserve"> </w:t>
      </w:r>
      <w:r>
        <w:t>related</w:t>
      </w:r>
      <w:r>
        <w:rPr>
          <w:spacing w:val="-1"/>
        </w:rPr>
        <w:t xml:space="preserve"> </w:t>
      </w:r>
      <w:r>
        <w:t>as</w:t>
      </w:r>
      <w:r>
        <w:rPr>
          <w:spacing w:val="-1"/>
        </w:rPr>
        <w:t xml:space="preserve"> </w:t>
      </w:r>
      <w:r>
        <w:t>possible</w:t>
      </w:r>
      <w:r>
        <w:rPr>
          <w:spacing w:val="-1"/>
        </w:rPr>
        <w:t xml:space="preserve"> </w:t>
      </w:r>
      <w:r>
        <w:t>to</w:t>
      </w:r>
      <w:r>
        <w:rPr>
          <w:spacing w:val="-1"/>
        </w:rPr>
        <w:t xml:space="preserve"> </w:t>
      </w:r>
      <w:r>
        <w:t>the</w:t>
      </w:r>
      <w:r>
        <w:rPr>
          <w:spacing w:val="-3"/>
        </w:rPr>
        <w:t xml:space="preserve"> </w:t>
      </w:r>
      <w:r>
        <w:t>types of costs being allocated, so that benefit can be measured as accurately as possible. For example, building</w:t>
      </w:r>
      <w:r>
        <w:rPr>
          <w:spacing w:val="-3"/>
        </w:rPr>
        <w:t xml:space="preserve"> </w:t>
      </w:r>
      <w:r>
        <w:t>costs may</w:t>
      </w:r>
      <w:r>
        <w:rPr>
          <w:spacing w:val="-5"/>
        </w:rPr>
        <w:t xml:space="preserve"> </w:t>
      </w:r>
      <w:r>
        <w:t>be</w:t>
      </w:r>
      <w:r>
        <w:rPr>
          <w:spacing w:val="-1"/>
        </w:rPr>
        <w:t xml:space="preserve"> </w:t>
      </w:r>
      <w:r>
        <w:t>allocated based on square</w:t>
      </w:r>
      <w:r>
        <w:rPr>
          <w:spacing w:val="-1"/>
        </w:rPr>
        <w:t xml:space="preserve"> </w:t>
      </w:r>
      <w:r>
        <w:t>footage</w:t>
      </w:r>
      <w:r>
        <w:rPr>
          <w:spacing w:val="-1"/>
        </w:rPr>
        <w:t xml:space="preserve"> </w:t>
      </w:r>
      <w:r>
        <w:t>used by</w:t>
      </w:r>
      <w:r>
        <w:rPr>
          <w:spacing w:val="-3"/>
        </w:rPr>
        <w:t xml:space="preserve"> </w:t>
      </w:r>
      <w:r>
        <w:t>a</w:t>
      </w:r>
      <w:r>
        <w:rPr>
          <w:spacing w:val="-1"/>
        </w:rPr>
        <w:t xml:space="preserve"> </w:t>
      </w:r>
      <w:r>
        <w:t>partner</w:t>
      </w:r>
      <w:r>
        <w:rPr>
          <w:spacing w:val="-1"/>
        </w:rPr>
        <w:t xml:space="preserve"> </w:t>
      </w:r>
      <w:r>
        <w:t>program.</w:t>
      </w:r>
    </w:p>
    <w:p w14:paraId="365A9699" w14:textId="1A1C0251" w:rsidR="00E41A5B" w:rsidRDefault="00DA7B02">
      <w:pPr>
        <w:pStyle w:val="ListParagraph"/>
        <w:numPr>
          <w:ilvl w:val="1"/>
          <w:numId w:val="22"/>
        </w:numPr>
        <w:tabs>
          <w:tab w:val="left" w:pos="2020"/>
        </w:tabs>
        <w:spacing w:before="187"/>
        <w:ind w:left="2020" w:right="1353"/>
        <w:rPr>
          <w:sz w:val="24"/>
        </w:rPr>
      </w:pPr>
      <w:r>
        <w:rPr>
          <w:b/>
          <w:sz w:val="24"/>
        </w:rPr>
        <w:t>General Acceptability.</w:t>
      </w:r>
      <w:r>
        <w:rPr>
          <w:b/>
          <w:spacing w:val="40"/>
          <w:sz w:val="24"/>
        </w:rPr>
        <w:t xml:space="preserve"> </w:t>
      </w:r>
      <w:r>
        <w:rPr>
          <w:sz w:val="24"/>
        </w:rPr>
        <w:t xml:space="preserve">Consistent with 2 CFR </w:t>
      </w:r>
      <w:r w:rsidR="009148E4" w:rsidRPr="009148E4">
        <w:rPr>
          <w:sz w:val="24"/>
        </w:rPr>
        <w:t>§</w:t>
      </w:r>
      <w:r w:rsidR="009148E4">
        <w:rPr>
          <w:sz w:val="24"/>
        </w:rPr>
        <w:t xml:space="preserve"> </w:t>
      </w:r>
      <w:r>
        <w:rPr>
          <w:sz w:val="24"/>
        </w:rPr>
        <w:t>200.403(e), the base should be generally accepted and in conformance with Generally Accepted Accounting Principles (GAAP). For example, the base should be consistently applied over time. The base should also be drawn from the same period during which the costs have been incurred and allocated.</w:t>
      </w:r>
    </w:p>
    <w:p w14:paraId="365A969A" w14:textId="77777777" w:rsidR="00E41A5B" w:rsidRDefault="00DA7B02">
      <w:pPr>
        <w:pStyle w:val="ListParagraph"/>
        <w:numPr>
          <w:ilvl w:val="1"/>
          <w:numId w:val="22"/>
        </w:numPr>
        <w:tabs>
          <w:tab w:val="left" w:pos="2020"/>
        </w:tabs>
        <w:spacing w:before="181"/>
        <w:ind w:left="2020" w:right="1358"/>
        <w:rPr>
          <w:sz w:val="24"/>
        </w:rPr>
      </w:pPr>
      <w:r>
        <w:rPr>
          <w:b/>
          <w:sz w:val="24"/>
        </w:rPr>
        <w:t xml:space="preserve">Represents Actual Cost or Effort Expended. </w:t>
      </w:r>
      <w:r>
        <w:rPr>
          <w:sz w:val="24"/>
        </w:rPr>
        <w:t>The base should be a measure of actual cost or actual effort expended. It should be based on historical data and not solely on a plan, projection, budget, job description, or other estimates of planned activity. This means that partner contributions determined from allocation methodologies based originally on a budget must be reconciled periodically to actual costs to ensure the contribution is reflective of relative benefits received by the partner over time.</w:t>
      </w:r>
    </w:p>
    <w:p w14:paraId="365A969B" w14:textId="77777777" w:rsidR="00E41A5B" w:rsidRDefault="00DA7B02">
      <w:pPr>
        <w:pStyle w:val="ListParagraph"/>
        <w:numPr>
          <w:ilvl w:val="1"/>
          <w:numId w:val="22"/>
        </w:numPr>
        <w:tabs>
          <w:tab w:val="left" w:pos="2020"/>
        </w:tabs>
        <w:spacing w:before="184"/>
        <w:ind w:left="2020" w:right="1358"/>
        <w:rPr>
          <w:sz w:val="24"/>
        </w:rPr>
      </w:pPr>
      <w:r>
        <w:rPr>
          <w:b/>
          <w:sz w:val="24"/>
        </w:rPr>
        <w:t xml:space="preserve">Timely Management Control. </w:t>
      </w:r>
      <w:r>
        <w:rPr>
          <w:sz w:val="24"/>
        </w:rPr>
        <w:t xml:space="preserve">The base should be within management’s ability to control on a timely basis. The base should produce reliable and </w:t>
      </w:r>
      <w:proofErr w:type="gramStart"/>
      <w:r>
        <w:rPr>
          <w:sz w:val="24"/>
        </w:rPr>
        <w:t>fairly predictable</w:t>
      </w:r>
      <w:proofErr w:type="gramEnd"/>
      <w:r>
        <w:rPr>
          <w:sz w:val="24"/>
        </w:rPr>
        <w:t xml:space="preserve"> results. If the base is erratic and unpredictable, beyond management’s ability to control, or not timely, it is likely to produce unacceptable results. For example, if time studies are used, but do not accurately reflect seasonal or workload fluctuations, such a base may not be suitable in allocating costs.</w:t>
      </w:r>
    </w:p>
    <w:p w14:paraId="365A969C" w14:textId="77777777" w:rsidR="00E41A5B" w:rsidRDefault="00DA7B02">
      <w:pPr>
        <w:pStyle w:val="ListParagraph"/>
        <w:numPr>
          <w:ilvl w:val="1"/>
          <w:numId w:val="22"/>
        </w:numPr>
        <w:tabs>
          <w:tab w:val="left" w:pos="2020"/>
        </w:tabs>
        <w:spacing w:before="186" w:line="237" w:lineRule="auto"/>
        <w:ind w:left="2020" w:right="1356"/>
        <w:rPr>
          <w:sz w:val="24"/>
        </w:rPr>
      </w:pPr>
      <w:r>
        <w:rPr>
          <w:b/>
          <w:sz w:val="24"/>
        </w:rPr>
        <w:t xml:space="preserve">Consistency with Variations in Funding. </w:t>
      </w:r>
      <w:r>
        <w:rPr>
          <w:sz w:val="24"/>
        </w:rPr>
        <w:t>The base must be able to accommodate and withstand changes in funding during the year and from year to year. If the base includes factors that are affected by variations in funding, it could produce distorted results.</w:t>
      </w:r>
    </w:p>
    <w:p w14:paraId="365A969D" w14:textId="77777777" w:rsidR="00E41A5B" w:rsidRDefault="00DA7B02">
      <w:pPr>
        <w:pStyle w:val="ListParagraph"/>
        <w:numPr>
          <w:ilvl w:val="1"/>
          <w:numId w:val="22"/>
        </w:numPr>
        <w:tabs>
          <w:tab w:val="left" w:pos="2020"/>
        </w:tabs>
        <w:spacing w:before="189"/>
        <w:ind w:left="2020" w:right="1357"/>
        <w:rPr>
          <w:sz w:val="24"/>
        </w:rPr>
      </w:pPr>
      <w:r>
        <w:rPr>
          <w:b/>
          <w:sz w:val="24"/>
        </w:rPr>
        <w:t xml:space="preserve">Materiality of Costs Involved. </w:t>
      </w:r>
      <w:r>
        <w:rPr>
          <w:sz w:val="24"/>
        </w:rPr>
        <w:t>The time and expense spent in developing and implementing the base should not be greater than justified by the materiality of the costs to be allocated. In other words, the grantee should not spend more on obtaining the information needed to allocate pooled costs than the dollars in the pool warrant. The base should be sufficiently detailed to provide the most equitable and accurate allocation possible. At the same time, the base should be simple enough to be efficient while still attaining a fair distribut</w:t>
      </w:r>
      <w:r>
        <w:rPr>
          <w:sz w:val="24"/>
        </w:rPr>
        <w:t>ion of costs.</w:t>
      </w:r>
    </w:p>
    <w:p w14:paraId="365A969E" w14:textId="77777777" w:rsidR="00E41A5B" w:rsidRDefault="00DA7B02">
      <w:pPr>
        <w:pStyle w:val="ListParagraph"/>
        <w:numPr>
          <w:ilvl w:val="1"/>
          <w:numId w:val="22"/>
        </w:numPr>
        <w:tabs>
          <w:tab w:val="left" w:pos="2020"/>
        </w:tabs>
        <w:spacing w:before="182"/>
        <w:ind w:left="2020" w:right="1356"/>
        <w:rPr>
          <w:sz w:val="24"/>
        </w:rPr>
      </w:pPr>
      <w:r>
        <w:rPr>
          <w:b/>
          <w:sz w:val="24"/>
        </w:rPr>
        <w:t xml:space="preserve">Practicality and Cost of Using the Base. </w:t>
      </w:r>
      <w:r>
        <w:rPr>
          <w:sz w:val="24"/>
        </w:rPr>
        <w:t>The base should be as efficient as possible in terms of the cost or effort in developing it. Thus, wherever possible, a database that already exists in the financial or participant record keeping and reporting systems should be used rather than creating a separate database to be used only for allocating costs.</w:t>
      </w:r>
    </w:p>
    <w:p w14:paraId="365A969F" w14:textId="77777777" w:rsidR="00E41A5B" w:rsidRDefault="00E41A5B">
      <w:pPr>
        <w:jc w:val="both"/>
        <w:rPr>
          <w:sz w:val="24"/>
        </w:rPr>
        <w:sectPr w:rsidR="00E41A5B">
          <w:pgSz w:w="12240" w:h="15840"/>
          <w:pgMar w:top="1360" w:right="80" w:bottom="1540" w:left="140" w:header="0" w:footer="1345" w:gutter="0"/>
          <w:cols w:space="720"/>
        </w:sectPr>
      </w:pPr>
    </w:p>
    <w:p w14:paraId="365A96A0" w14:textId="77777777" w:rsidR="00E41A5B" w:rsidRDefault="00DA7B02">
      <w:pPr>
        <w:pStyle w:val="BodyText"/>
        <w:spacing w:before="72"/>
        <w:ind w:left="1300" w:right="1362"/>
      </w:pPr>
      <w:r>
        <w:lastRenderedPageBreak/>
        <w:t>Additional examples of common cost pools and allocation bases are described in Attachment I: Examples of Cost Pools and Possible Allocation Bases.</w:t>
      </w:r>
    </w:p>
    <w:p w14:paraId="365A96A1" w14:textId="77777777" w:rsidR="00E41A5B" w:rsidRDefault="00E41A5B">
      <w:pPr>
        <w:pStyle w:val="BodyText"/>
        <w:spacing w:before="4"/>
        <w:jc w:val="left"/>
      </w:pPr>
    </w:p>
    <w:p w14:paraId="365A96A2" w14:textId="66AD17C0" w:rsidR="00E41A5B" w:rsidRDefault="00DA7B02">
      <w:pPr>
        <w:pStyle w:val="ListParagraph"/>
        <w:numPr>
          <w:ilvl w:val="0"/>
          <w:numId w:val="22"/>
        </w:numPr>
        <w:tabs>
          <w:tab w:val="left" w:pos="1667"/>
        </w:tabs>
        <w:spacing w:before="1"/>
        <w:ind w:right="1356" w:firstLine="0"/>
        <w:rPr>
          <w:sz w:val="24"/>
        </w:rPr>
      </w:pPr>
      <w:r>
        <w:rPr>
          <w:b/>
          <w:sz w:val="24"/>
          <w:u w:val="single"/>
        </w:rPr>
        <w:t>Valuation</w:t>
      </w:r>
      <w:r>
        <w:rPr>
          <w:b/>
          <w:sz w:val="24"/>
        </w:rPr>
        <w:t>.</w:t>
      </w:r>
      <w:r>
        <w:rPr>
          <w:b/>
          <w:spacing w:val="40"/>
          <w:sz w:val="24"/>
        </w:rPr>
        <w:t xml:space="preserve"> </w:t>
      </w:r>
      <w:r>
        <w:rPr>
          <w:sz w:val="24"/>
        </w:rPr>
        <w:t xml:space="preserve">Contributions </w:t>
      </w:r>
      <w:proofErr w:type="gramStart"/>
      <w:r>
        <w:rPr>
          <w:sz w:val="24"/>
        </w:rPr>
        <w:t>for</w:t>
      </w:r>
      <w:proofErr w:type="gramEnd"/>
      <w:r>
        <w:rPr>
          <w:sz w:val="24"/>
        </w:rPr>
        <w:t xml:space="preserve"> infrastructure and additional costs may be made from cash, non-cash, or third-party in-kind contributions. Non-cash and third-party in-kind contributions must be fairly evaluated in accordance with the Uniform Guidance at 2 CFR </w:t>
      </w:r>
      <w:r w:rsidR="009148E4" w:rsidRPr="009148E4">
        <w:rPr>
          <w:sz w:val="24"/>
        </w:rPr>
        <w:t>§</w:t>
      </w:r>
      <w:r w:rsidR="009148E4">
        <w:rPr>
          <w:sz w:val="24"/>
        </w:rPr>
        <w:t xml:space="preserve"> 200.306 and</w:t>
      </w:r>
      <w:r>
        <w:rPr>
          <w:sz w:val="24"/>
        </w:rPr>
        <w:t xml:space="preserve"> must be in the agreed upon one-stop operating budget that must contain an infrastructure cost budget and an additional costs budget. All partner contributions, regardless of the source, must be reconciled and adjusted accordingly on a regular basis (i.e., monthly or quarterly) to ensure each partner program is contributing no more than its proportionate share based upon relative benefits received in accordance with the Uniform Guidance at 2 CFR part 200. To ensure that non-cash and third-party in-kind cont</w:t>
      </w:r>
      <w:r>
        <w:rPr>
          <w:sz w:val="24"/>
        </w:rPr>
        <w:t>ributions are fairly evaluated, one-stop partners should agree on which sources or companies they use to assess or appraise the fair market value or fair rental value of non-cash and third-party in-kind contributions.</w:t>
      </w:r>
    </w:p>
    <w:p w14:paraId="365A96A3" w14:textId="77777777" w:rsidR="00E41A5B" w:rsidRDefault="00DA7B02">
      <w:pPr>
        <w:pStyle w:val="BodyText"/>
        <w:spacing w:before="264"/>
        <w:ind w:left="1300" w:right="1355"/>
      </w:pPr>
      <w:r>
        <w:rPr>
          <w:b/>
        </w:rPr>
        <w:t>Cash contributions.</w:t>
      </w:r>
      <w:r>
        <w:rPr>
          <w:b/>
          <w:spacing w:val="-3"/>
        </w:rPr>
        <w:t xml:space="preserve"> </w:t>
      </w:r>
      <w:r>
        <w:t>Cash</w:t>
      </w:r>
      <w:r>
        <w:rPr>
          <w:spacing w:val="-1"/>
        </w:rPr>
        <w:t xml:space="preserve"> </w:t>
      </w:r>
      <w:r>
        <w:t>contributions</w:t>
      </w:r>
      <w:r>
        <w:rPr>
          <w:spacing w:val="-1"/>
        </w:rPr>
        <w:t xml:space="preserve"> </w:t>
      </w:r>
      <w:r>
        <w:t>are</w:t>
      </w:r>
      <w:r>
        <w:rPr>
          <w:spacing w:val="-2"/>
        </w:rPr>
        <w:t xml:space="preserve"> </w:t>
      </w:r>
      <w:r>
        <w:t>cash</w:t>
      </w:r>
      <w:r>
        <w:rPr>
          <w:spacing w:val="-1"/>
        </w:rPr>
        <w:t xml:space="preserve"> </w:t>
      </w:r>
      <w:r>
        <w:t>funds</w:t>
      </w:r>
      <w:r>
        <w:rPr>
          <w:spacing w:val="-1"/>
        </w:rPr>
        <w:t xml:space="preserve"> </w:t>
      </w:r>
      <w:r>
        <w:t>provided</w:t>
      </w:r>
      <w:r>
        <w:rPr>
          <w:spacing w:val="-1"/>
        </w:rPr>
        <w:t xml:space="preserve"> </w:t>
      </w:r>
      <w:r>
        <w:t>to</w:t>
      </w:r>
      <w:r>
        <w:rPr>
          <w:spacing w:val="-1"/>
        </w:rPr>
        <w:t xml:space="preserve"> </w:t>
      </w:r>
      <w:r>
        <w:t>the</w:t>
      </w:r>
      <w:r>
        <w:rPr>
          <w:spacing w:val="-2"/>
        </w:rPr>
        <w:t xml:space="preserve"> </w:t>
      </w:r>
      <w:r>
        <w:t>LWDB</w:t>
      </w:r>
      <w:r>
        <w:rPr>
          <w:spacing w:val="-3"/>
        </w:rPr>
        <w:t xml:space="preserve"> </w:t>
      </w:r>
      <w:r>
        <w:t>or</w:t>
      </w:r>
      <w:r>
        <w:rPr>
          <w:spacing w:val="-2"/>
        </w:rPr>
        <w:t xml:space="preserve"> </w:t>
      </w:r>
      <w:r>
        <w:t>its</w:t>
      </w:r>
      <w:r>
        <w:rPr>
          <w:spacing w:val="-1"/>
        </w:rPr>
        <w:t xml:space="preserve"> </w:t>
      </w:r>
      <w:r>
        <w:t>designee</w:t>
      </w:r>
      <w:r>
        <w:rPr>
          <w:spacing w:val="-2"/>
        </w:rPr>
        <w:t xml:space="preserve"> </w:t>
      </w:r>
      <w:r>
        <w:t>by one-stop partners, either directly or by an interagency transfer, or by a third party.</w:t>
      </w:r>
    </w:p>
    <w:p w14:paraId="365A96A4" w14:textId="77777777" w:rsidR="00E41A5B" w:rsidRDefault="00DA7B02">
      <w:pPr>
        <w:pStyle w:val="BodyText"/>
        <w:spacing w:before="264"/>
        <w:ind w:left="1299" w:right="1356"/>
      </w:pPr>
      <w:r>
        <w:rPr>
          <w:b/>
        </w:rPr>
        <w:t xml:space="preserve">Non-cash contributions. </w:t>
      </w:r>
      <w:r>
        <w:t>Non-cash contributions are expenditures incurred by one-stop partners on behalf</w:t>
      </w:r>
      <w:r>
        <w:rPr>
          <w:spacing w:val="-1"/>
        </w:rPr>
        <w:t xml:space="preserve"> </w:t>
      </w:r>
      <w:r>
        <w:t>of the</w:t>
      </w:r>
      <w:r>
        <w:rPr>
          <w:spacing w:val="-1"/>
        </w:rPr>
        <w:t xml:space="preserve"> </w:t>
      </w:r>
      <w:r>
        <w:t>one-stop center and goods or services contributed by</w:t>
      </w:r>
      <w:r>
        <w:rPr>
          <w:spacing w:val="-2"/>
        </w:rPr>
        <w:t xml:space="preserve"> </w:t>
      </w:r>
      <w:r>
        <w:t>a</w:t>
      </w:r>
      <w:r>
        <w:rPr>
          <w:spacing w:val="-1"/>
        </w:rPr>
        <w:t xml:space="preserve"> </w:t>
      </w:r>
      <w:r>
        <w:t>partner</w:t>
      </w:r>
      <w:r>
        <w:rPr>
          <w:spacing w:val="-1"/>
        </w:rPr>
        <w:t xml:space="preserve"> </w:t>
      </w:r>
      <w:r>
        <w:t>program and used by</w:t>
      </w:r>
      <w:r>
        <w:rPr>
          <w:spacing w:val="37"/>
        </w:rPr>
        <w:t xml:space="preserve"> </w:t>
      </w:r>
      <w:r>
        <w:t>the</w:t>
      </w:r>
      <w:r>
        <w:rPr>
          <w:spacing w:val="44"/>
        </w:rPr>
        <w:t xml:space="preserve"> </w:t>
      </w:r>
      <w:r>
        <w:t>one-stop</w:t>
      </w:r>
      <w:r>
        <w:rPr>
          <w:spacing w:val="44"/>
        </w:rPr>
        <w:t xml:space="preserve"> </w:t>
      </w:r>
      <w:r>
        <w:t>center.</w:t>
      </w:r>
      <w:r>
        <w:rPr>
          <w:spacing w:val="45"/>
        </w:rPr>
        <w:t xml:space="preserve"> </w:t>
      </w:r>
      <w:r>
        <w:t>The</w:t>
      </w:r>
      <w:r>
        <w:rPr>
          <w:spacing w:val="43"/>
        </w:rPr>
        <w:t xml:space="preserve"> </w:t>
      </w:r>
      <w:r>
        <w:t>value</w:t>
      </w:r>
      <w:r>
        <w:rPr>
          <w:spacing w:val="44"/>
        </w:rPr>
        <w:t xml:space="preserve"> </w:t>
      </w:r>
      <w:r>
        <w:t>of</w:t>
      </w:r>
      <w:r>
        <w:rPr>
          <w:spacing w:val="43"/>
        </w:rPr>
        <w:t xml:space="preserve"> </w:t>
      </w:r>
      <w:r>
        <w:t>non-cash</w:t>
      </w:r>
      <w:r>
        <w:rPr>
          <w:spacing w:val="48"/>
        </w:rPr>
        <w:t xml:space="preserve"> </w:t>
      </w:r>
      <w:r>
        <w:t>contributions</w:t>
      </w:r>
      <w:r>
        <w:rPr>
          <w:spacing w:val="44"/>
        </w:rPr>
        <w:t xml:space="preserve"> </w:t>
      </w:r>
      <w:r>
        <w:t>must</w:t>
      </w:r>
      <w:r>
        <w:rPr>
          <w:spacing w:val="46"/>
        </w:rPr>
        <w:t xml:space="preserve"> </w:t>
      </w:r>
      <w:r>
        <w:t>be</w:t>
      </w:r>
      <w:r>
        <w:rPr>
          <w:spacing w:val="43"/>
        </w:rPr>
        <w:t xml:space="preserve"> </w:t>
      </w:r>
      <w:r>
        <w:t>consistent</w:t>
      </w:r>
      <w:r>
        <w:rPr>
          <w:spacing w:val="46"/>
        </w:rPr>
        <w:t xml:space="preserve"> </w:t>
      </w:r>
      <w:r>
        <w:t>with</w:t>
      </w:r>
      <w:r>
        <w:rPr>
          <w:spacing w:val="44"/>
        </w:rPr>
        <w:t xml:space="preserve"> </w:t>
      </w:r>
      <w:r>
        <w:t>2</w:t>
      </w:r>
      <w:r>
        <w:rPr>
          <w:spacing w:val="45"/>
        </w:rPr>
        <w:t xml:space="preserve"> </w:t>
      </w:r>
      <w:r>
        <w:rPr>
          <w:spacing w:val="-5"/>
        </w:rPr>
        <w:t>CFR</w:t>
      </w:r>
    </w:p>
    <w:p w14:paraId="365A96A5" w14:textId="22CB2B41" w:rsidR="00E41A5B" w:rsidRDefault="009148E4">
      <w:pPr>
        <w:pStyle w:val="BodyText"/>
        <w:ind w:left="1299" w:right="1355"/>
      </w:pPr>
      <w:r w:rsidRPr="009148E4">
        <w:t>§</w:t>
      </w:r>
      <w:r>
        <w:t xml:space="preserve"> </w:t>
      </w:r>
      <w:r w:rsidR="00DA7B02">
        <w:t>200.306 and reconciled on a regular basis (i.e., monthly or quarterly) to ensure they are fairly evaluated and meet the partners’ proportionate share.</w:t>
      </w:r>
    </w:p>
    <w:p w14:paraId="365A96A6" w14:textId="77777777" w:rsidR="00E41A5B" w:rsidRDefault="00DA7B02">
      <w:pPr>
        <w:pStyle w:val="BodyText"/>
        <w:spacing w:before="264"/>
        <w:ind w:left="1659" w:right="1355"/>
      </w:pPr>
      <w:r>
        <w:rPr>
          <w:b/>
        </w:rPr>
        <w:t xml:space="preserve">Example 1: </w:t>
      </w:r>
      <w:r>
        <w:t>For Program Year (PY) 2017, a partner’s proportionate use of the one-stop center results in a contribution of $15,000. The partner does not have sufficient cash resources to fully fund its share and wishes to donate to the one-stop center (not for its own individual use) gently used surplus office furniture. The furniture is needed in the one-stop center. The office furniture was purchased in 2015 for $18,500 using unrestricted or non</w:t>
      </w:r>
      <w:proofErr w:type="gramStart"/>
      <w:r>
        <w:t>- Federal</w:t>
      </w:r>
      <w:proofErr w:type="gramEnd"/>
      <w:r>
        <w:t xml:space="preserve"> funds. The office furniture has a current fair market value of $</w:t>
      </w:r>
      <w:r>
        <w:t>10,000 and a depreciated value of $11,100. In accordance with the requirements specified in the Uniform Guidance at 2 CFR 200.306(d), the value of the contribution must be the lesser of the current fair market value or the value of the remaining life of the property as recorded in the</w:t>
      </w:r>
      <w:r>
        <w:rPr>
          <w:spacing w:val="40"/>
        </w:rPr>
        <w:t xml:space="preserve"> </w:t>
      </w:r>
      <w:r>
        <w:t>partner’s accounting records at the time of donation, unless approval has been granted in accordance with 2 CFR 200.306(d)(2). The partner would be able to count the $10,000 value as part of its $15,000 contribution and would be required to use additional resources for the remaining $5,000 balance of its share. This one-time contribution is recognized by the</w:t>
      </w:r>
      <w:r>
        <w:rPr>
          <w:spacing w:val="40"/>
        </w:rPr>
        <w:t xml:space="preserve"> </w:t>
      </w:r>
      <w:r>
        <w:t>partner during the year in which the contribution is made.</w:t>
      </w:r>
    </w:p>
    <w:p w14:paraId="365A96A7" w14:textId="77777777" w:rsidR="00E41A5B" w:rsidRDefault="00E41A5B">
      <w:pPr>
        <w:pStyle w:val="BodyText"/>
        <w:jc w:val="left"/>
      </w:pPr>
    </w:p>
    <w:p w14:paraId="365A96AA" w14:textId="1A656165" w:rsidR="00E41A5B" w:rsidRDefault="00DA7B02" w:rsidP="009148E4">
      <w:pPr>
        <w:pStyle w:val="BodyText"/>
        <w:ind w:left="1659" w:right="1355"/>
      </w:pPr>
      <w:r>
        <w:rPr>
          <w:b/>
        </w:rPr>
        <w:t>Example</w:t>
      </w:r>
      <w:r>
        <w:rPr>
          <w:b/>
          <w:spacing w:val="-1"/>
        </w:rPr>
        <w:t xml:space="preserve"> </w:t>
      </w:r>
      <w:r>
        <w:rPr>
          <w:b/>
        </w:rPr>
        <w:t xml:space="preserve">2: </w:t>
      </w:r>
      <w:r>
        <w:t>In the same example</w:t>
      </w:r>
      <w:r>
        <w:rPr>
          <w:spacing w:val="-1"/>
        </w:rPr>
        <w:t xml:space="preserve"> </w:t>
      </w:r>
      <w:r>
        <w:t>as above, the</w:t>
      </w:r>
      <w:r>
        <w:rPr>
          <w:spacing w:val="-1"/>
        </w:rPr>
        <w:t xml:space="preserve"> </w:t>
      </w:r>
      <w:r>
        <w:t>partner</w:t>
      </w:r>
      <w:r>
        <w:rPr>
          <w:spacing w:val="-1"/>
        </w:rPr>
        <w:t xml:space="preserve"> </w:t>
      </w:r>
      <w:r>
        <w:t>does not donate the gently</w:t>
      </w:r>
      <w:r>
        <w:rPr>
          <w:spacing w:val="-5"/>
        </w:rPr>
        <w:t xml:space="preserve"> </w:t>
      </w:r>
      <w:r>
        <w:t>used office furniture,</w:t>
      </w:r>
      <w:r>
        <w:rPr>
          <w:spacing w:val="-2"/>
        </w:rPr>
        <w:t xml:space="preserve"> </w:t>
      </w:r>
      <w:r>
        <w:t>but</w:t>
      </w:r>
      <w:r>
        <w:rPr>
          <w:spacing w:val="-2"/>
        </w:rPr>
        <w:t xml:space="preserve"> </w:t>
      </w:r>
      <w:r>
        <w:t>loans</w:t>
      </w:r>
      <w:r>
        <w:rPr>
          <w:spacing w:val="-2"/>
        </w:rPr>
        <w:t xml:space="preserve"> </w:t>
      </w:r>
      <w:r>
        <w:t>it</w:t>
      </w:r>
      <w:r>
        <w:rPr>
          <w:spacing w:val="-2"/>
        </w:rPr>
        <w:t xml:space="preserve"> </w:t>
      </w:r>
      <w:r>
        <w:t>for</w:t>
      </w:r>
      <w:r>
        <w:rPr>
          <w:spacing w:val="-1"/>
        </w:rPr>
        <w:t xml:space="preserve"> </w:t>
      </w:r>
      <w:r>
        <w:t>general</w:t>
      </w:r>
      <w:r>
        <w:rPr>
          <w:spacing w:val="-2"/>
        </w:rPr>
        <w:t xml:space="preserve"> </w:t>
      </w:r>
      <w:r>
        <w:t>use</w:t>
      </w:r>
      <w:r>
        <w:rPr>
          <w:spacing w:val="-3"/>
        </w:rPr>
        <w:t xml:space="preserve"> </w:t>
      </w:r>
      <w:r>
        <w:t>by</w:t>
      </w:r>
      <w:r>
        <w:rPr>
          <w:spacing w:val="-7"/>
        </w:rPr>
        <w:t xml:space="preserve"> </w:t>
      </w:r>
      <w:r>
        <w:t>partners</w:t>
      </w:r>
      <w:r>
        <w:rPr>
          <w:spacing w:val="-2"/>
        </w:rPr>
        <w:t xml:space="preserve"> </w:t>
      </w:r>
      <w:r>
        <w:t>at the</w:t>
      </w:r>
      <w:r>
        <w:rPr>
          <w:spacing w:val="-3"/>
        </w:rPr>
        <w:t xml:space="preserve"> </w:t>
      </w:r>
      <w:r>
        <w:t>one-stop</w:t>
      </w:r>
      <w:r>
        <w:rPr>
          <w:spacing w:val="-2"/>
        </w:rPr>
        <w:t xml:space="preserve"> </w:t>
      </w:r>
      <w:r>
        <w:t>center.</w:t>
      </w:r>
      <w:r>
        <w:rPr>
          <w:spacing w:val="-2"/>
        </w:rPr>
        <w:t xml:space="preserve"> </w:t>
      </w:r>
      <w:r>
        <w:t>The</w:t>
      </w:r>
      <w:r>
        <w:rPr>
          <w:spacing w:val="-1"/>
        </w:rPr>
        <w:t xml:space="preserve"> </w:t>
      </w:r>
      <w:r>
        <w:t>office</w:t>
      </w:r>
      <w:r>
        <w:rPr>
          <w:spacing w:val="-1"/>
        </w:rPr>
        <w:t xml:space="preserve"> </w:t>
      </w:r>
      <w:r>
        <w:t>furniture</w:t>
      </w:r>
      <w:r>
        <w:rPr>
          <w:spacing w:val="-3"/>
        </w:rPr>
        <w:t xml:space="preserve"> </w:t>
      </w:r>
      <w:r>
        <w:t>is on a 5-year depreciation schedule. The annual depreciation is $3,700 and the annual fair rental</w:t>
      </w:r>
      <w:r>
        <w:rPr>
          <w:spacing w:val="-3"/>
        </w:rPr>
        <w:t xml:space="preserve"> </w:t>
      </w:r>
      <w:r>
        <w:t>value</w:t>
      </w:r>
      <w:r>
        <w:rPr>
          <w:spacing w:val="-2"/>
        </w:rPr>
        <w:t xml:space="preserve"> </w:t>
      </w:r>
      <w:r>
        <w:t>is</w:t>
      </w:r>
      <w:r>
        <w:rPr>
          <w:spacing w:val="-3"/>
        </w:rPr>
        <w:t xml:space="preserve"> </w:t>
      </w:r>
      <w:r>
        <w:t>$3,500.</w:t>
      </w:r>
      <w:r>
        <w:rPr>
          <w:spacing w:val="-1"/>
        </w:rPr>
        <w:t xml:space="preserve"> </w:t>
      </w:r>
      <w:r>
        <w:t>In accordance</w:t>
      </w:r>
      <w:r>
        <w:rPr>
          <w:spacing w:val="-4"/>
        </w:rPr>
        <w:t xml:space="preserve"> </w:t>
      </w:r>
      <w:r>
        <w:t>with</w:t>
      </w:r>
      <w:r>
        <w:rPr>
          <w:spacing w:val="-3"/>
        </w:rPr>
        <w:t xml:space="preserve"> </w:t>
      </w:r>
      <w:r>
        <w:t>2</w:t>
      </w:r>
      <w:r>
        <w:rPr>
          <w:spacing w:val="-3"/>
        </w:rPr>
        <w:t xml:space="preserve"> </w:t>
      </w:r>
      <w:r>
        <w:t>CFR</w:t>
      </w:r>
      <w:r>
        <w:rPr>
          <w:spacing w:val="-3"/>
        </w:rPr>
        <w:t xml:space="preserve"> </w:t>
      </w:r>
      <w:r w:rsidR="009148E4" w:rsidRPr="009148E4">
        <w:rPr>
          <w:spacing w:val="-3"/>
        </w:rPr>
        <w:t>§</w:t>
      </w:r>
      <w:r w:rsidR="009148E4">
        <w:rPr>
          <w:spacing w:val="-3"/>
        </w:rPr>
        <w:t xml:space="preserve"> </w:t>
      </w:r>
      <w:r>
        <w:t>200.306(</w:t>
      </w:r>
      <w:proofErr w:type="spellStart"/>
      <w:r>
        <w:t>i</w:t>
      </w:r>
      <w:proofErr w:type="spellEnd"/>
      <w:r>
        <w:t>)(4),</w:t>
      </w:r>
      <w:r>
        <w:rPr>
          <w:spacing w:val="-3"/>
        </w:rPr>
        <w:t xml:space="preserve"> </w:t>
      </w:r>
      <w:r>
        <w:t>the</w:t>
      </w:r>
      <w:r>
        <w:rPr>
          <w:spacing w:val="-2"/>
        </w:rPr>
        <w:t xml:space="preserve"> </w:t>
      </w:r>
      <w:r>
        <w:t>partner</w:t>
      </w:r>
      <w:r>
        <w:rPr>
          <w:spacing w:val="-2"/>
        </w:rPr>
        <w:t xml:space="preserve"> </w:t>
      </w:r>
      <w:r>
        <w:t>may</w:t>
      </w:r>
      <w:r>
        <w:rPr>
          <w:spacing w:val="-6"/>
        </w:rPr>
        <w:t xml:space="preserve"> </w:t>
      </w:r>
      <w:r>
        <w:t>count</w:t>
      </w:r>
      <w:r>
        <w:rPr>
          <w:spacing w:val="-3"/>
        </w:rPr>
        <w:t xml:space="preserve"> </w:t>
      </w:r>
      <w:r>
        <w:t>$3,500 as part of its contribution for that year. As with any depreciable asset, an assessment of its</w:t>
      </w:r>
      <w:r>
        <w:rPr>
          <w:spacing w:val="40"/>
        </w:rPr>
        <w:t xml:space="preserve"> </w:t>
      </w:r>
      <w:r>
        <w:t xml:space="preserve">fair rental value must be </w:t>
      </w:r>
      <w:proofErr w:type="gramStart"/>
      <w:r>
        <w:t>done</w:t>
      </w:r>
      <w:proofErr w:type="gramEnd"/>
      <w:r>
        <w:t xml:space="preserve"> each year in which the equipment is loaned to the one-stop center.</w:t>
      </w:r>
      <w:r>
        <w:rPr>
          <w:spacing w:val="56"/>
        </w:rPr>
        <w:t xml:space="preserve"> </w:t>
      </w:r>
      <w:r>
        <w:t>The</w:t>
      </w:r>
      <w:r>
        <w:rPr>
          <w:spacing w:val="55"/>
        </w:rPr>
        <w:t xml:space="preserve"> </w:t>
      </w:r>
      <w:r>
        <w:t>one-stop</w:t>
      </w:r>
      <w:r>
        <w:rPr>
          <w:spacing w:val="56"/>
        </w:rPr>
        <w:t xml:space="preserve"> </w:t>
      </w:r>
      <w:r>
        <w:t>partners</w:t>
      </w:r>
      <w:r>
        <w:rPr>
          <w:spacing w:val="56"/>
        </w:rPr>
        <w:t xml:space="preserve"> </w:t>
      </w:r>
      <w:r>
        <w:t>must</w:t>
      </w:r>
      <w:r>
        <w:rPr>
          <w:spacing w:val="57"/>
        </w:rPr>
        <w:t xml:space="preserve"> </w:t>
      </w:r>
      <w:r>
        <w:t>determine</w:t>
      </w:r>
      <w:r>
        <w:rPr>
          <w:spacing w:val="55"/>
        </w:rPr>
        <w:t xml:space="preserve"> </w:t>
      </w:r>
      <w:r>
        <w:t>annually</w:t>
      </w:r>
      <w:r>
        <w:rPr>
          <w:spacing w:val="51"/>
        </w:rPr>
        <w:t xml:space="preserve"> </w:t>
      </w:r>
      <w:r>
        <w:t>whether</w:t>
      </w:r>
      <w:r>
        <w:rPr>
          <w:spacing w:val="55"/>
        </w:rPr>
        <w:t xml:space="preserve"> </w:t>
      </w:r>
      <w:r>
        <w:t>the</w:t>
      </w:r>
      <w:r>
        <w:rPr>
          <w:spacing w:val="55"/>
        </w:rPr>
        <w:t xml:space="preserve"> </w:t>
      </w:r>
      <w:r>
        <w:t>one-stop</w:t>
      </w:r>
      <w:r>
        <w:rPr>
          <w:spacing w:val="56"/>
        </w:rPr>
        <w:t xml:space="preserve"> </w:t>
      </w:r>
      <w:r>
        <w:t>center</w:t>
      </w:r>
      <w:r>
        <w:rPr>
          <w:spacing w:val="56"/>
        </w:rPr>
        <w:t xml:space="preserve"> </w:t>
      </w:r>
      <w:r>
        <w:rPr>
          <w:spacing w:val="-2"/>
        </w:rPr>
        <w:lastRenderedPageBreak/>
        <w:t>still</w:t>
      </w:r>
      <w:r w:rsidR="009148E4">
        <w:rPr>
          <w:spacing w:val="-2"/>
        </w:rPr>
        <w:t xml:space="preserve"> </w:t>
      </w:r>
      <w:r>
        <w:t>r</w:t>
      </w:r>
      <w:r>
        <w:t>equires the</w:t>
      </w:r>
      <w:r>
        <w:rPr>
          <w:spacing w:val="-3"/>
        </w:rPr>
        <w:t xml:space="preserve"> </w:t>
      </w:r>
      <w:r>
        <w:t>use</w:t>
      </w:r>
      <w:r>
        <w:rPr>
          <w:spacing w:val="-1"/>
        </w:rPr>
        <w:t xml:space="preserve"> </w:t>
      </w:r>
      <w:r>
        <w:t>of</w:t>
      </w:r>
      <w:r>
        <w:rPr>
          <w:spacing w:val="-1"/>
        </w:rPr>
        <w:t xml:space="preserve"> </w:t>
      </w:r>
      <w:r>
        <w:t>the</w:t>
      </w:r>
      <w:r>
        <w:rPr>
          <w:spacing w:val="-3"/>
        </w:rPr>
        <w:t xml:space="preserve"> </w:t>
      </w:r>
      <w:r>
        <w:t>office</w:t>
      </w:r>
      <w:r>
        <w:rPr>
          <w:spacing w:val="-1"/>
        </w:rPr>
        <w:t xml:space="preserve"> </w:t>
      </w:r>
      <w:r>
        <w:t>furniture</w:t>
      </w:r>
      <w:r>
        <w:rPr>
          <w:spacing w:val="-1"/>
        </w:rPr>
        <w:t xml:space="preserve"> </w:t>
      </w:r>
      <w:r>
        <w:t>and</w:t>
      </w:r>
      <w:r>
        <w:rPr>
          <w:spacing w:val="-2"/>
        </w:rPr>
        <w:t xml:space="preserve"> </w:t>
      </w:r>
      <w:r>
        <w:t>that</w:t>
      </w:r>
      <w:r>
        <w:rPr>
          <w:spacing w:val="-2"/>
        </w:rPr>
        <w:t xml:space="preserve"> </w:t>
      </w:r>
      <w:r>
        <w:t>this</w:t>
      </w:r>
      <w:r>
        <w:rPr>
          <w:spacing w:val="-2"/>
        </w:rPr>
        <w:t xml:space="preserve"> </w:t>
      </w:r>
      <w:r>
        <w:t>cost</w:t>
      </w:r>
      <w:r>
        <w:rPr>
          <w:spacing w:val="-2"/>
        </w:rPr>
        <w:t xml:space="preserve"> </w:t>
      </w:r>
      <w:r>
        <w:t>is</w:t>
      </w:r>
      <w:r>
        <w:rPr>
          <w:spacing w:val="-2"/>
        </w:rPr>
        <w:t xml:space="preserve"> </w:t>
      </w:r>
      <w:r>
        <w:t>built</w:t>
      </w:r>
      <w:r>
        <w:rPr>
          <w:spacing w:val="-2"/>
        </w:rPr>
        <w:t xml:space="preserve"> </w:t>
      </w:r>
      <w:r>
        <w:t>into</w:t>
      </w:r>
      <w:r>
        <w:rPr>
          <w:spacing w:val="-2"/>
        </w:rPr>
        <w:t xml:space="preserve"> </w:t>
      </w:r>
      <w:r>
        <w:t>the</w:t>
      </w:r>
      <w:r>
        <w:rPr>
          <w:spacing w:val="-3"/>
        </w:rPr>
        <w:t xml:space="preserve"> </w:t>
      </w:r>
      <w:r>
        <w:t>infrastructure</w:t>
      </w:r>
      <w:r>
        <w:rPr>
          <w:spacing w:val="-3"/>
        </w:rPr>
        <w:t xml:space="preserve"> </w:t>
      </w:r>
      <w:r>
        <w:t>funding agreement (IFA).</w:t>
      </w:r>
    </w:p>
    <w:p w14:paraId="365A96AB" w14:textId="77777777" w:rsidR="00E41A5B" w:rsidRDefault="00DA7B02">
      <w:pPr>
        <w:pStyle w:val="BodyText"/>
        <w:spacing w:before="264"/>
        <w:ind w:left="1300" w:right="1357"/>
      </w:pPr>
      <w:r>
        <w:rPr>
          <w:b/>
        </w:rPr>
        <w:t xml:space="preserve">Third-party in-kind contributions. </w:t>
      </w:r>
      <w:r>
        <w:t>Third-party in-kind contributions are contributions of</w:t>
      </w:r>
      <w:r>
        <w:rPr>
          <w:spacing w:val="40"/>
        </w:rPr>
        <w:t xml:space="preserve"> </w:t>
      </w:r>
      <w:r>
        <w:t>space,</w:t>
      </w:r>
      <w:r>
        <w:rPr>
          <w:spacing w:val="-1"/>
        </w:rPr>
        <w:t xml:space="preserve"> </w:t>
      </w:r>
      <w:r>
        <w:t>equipment,</w:t>
      </w:r>
      <w:r>
        <w:rPr>
          <w:spacing w:val="-3"/>
        </w:rPr>
        <w:t xml:space="preserve"> </w:t>
      </w:r>
      <w:r>
        <w:t>technology,</w:t>
      </w:r>
      <w:r>
        <w:rPr>
          <w:spacing w:val="-3"/>
        </w:rPr>
        <w:t xml:space="preserve"> </w:t>
      </w:r>
      <w:r>
        <w:t>non-personnel</w:t>
      </w:r>
      <w:r>
        <w:rPr>
          <w:spacing w:val="-3"/>
        </w:rPr>
        <w:t xml:space="preserve"> </w:t>
      </w:r>
      <w:r>
        <w:t>services,</w:t>
      </w:r>
      <w:r>
        <w:rPr>
          <w:spacing w:val="-3"/>
        </w:rPr>
        <w:t xml:space="preserve"> </w:t>
      </w:r>
      <w:r>
        <w:t>or</w:t>
      </w:r>
      <w:r>
        <w:rPr>
          <w:spacing w:val="-4"/>
        </w:rPr>
        <w:t xml:space="preserve"> </w:t>
      </w:r>
      <w:r>
        <w:t>other</w:t>
      </w:r>
      <w:r>
        <w:rPr>
          <w:spacing w:val="-4"/>
        </w:rPr>
        <w:t xml:space="preserve"> </w:t>
      </w:r>
      <w:r>
        <w:t>like</w:t>
      </w:r>
      <w:r>
        <w:rPr>
          <w:spacing w:val="-4"/>
        </w:rPr>
        <w:t xml:space="preserve"> </w:t>
      </w:r>
      <w:r>
        <w:t>items</w:t>
      </w:r>
      <w:r>
        <w:rPr>
          <w:spacing w:val="-3"/>
        </w:rPr>
        <w:t xml:space="preserve"> </w:t>
      </w:r>
      <w:r>
        <w:t>by</w:t>
      </w:r>
      <w:r>
        <w:rPr>
          <w:spacing w:val="-6"/>
        </w:rPr>
        <w:t xml:space="preserve"> </w:t>
      </w:r>
      <w:r>
        <w:t>a</w:t>
      </w:r>
      <w:r>
        <w:rPr>
          <w:spacing w:val="-2"/>
        </w:rPr>
        <w:t xml:space="preserve"> </w:t>
      </w:r>
      <w:r>
        <w:t>non-partner</w:t>
      </w:r>
      <w:r>
        <w:rPr>
          <w:spacing w:val="-4"/>
        </w:rPr>
        <w:t xml:space="preserve"> </w:t>
      </w:r>
      <w:r>
        <w:t>(i.e.,</w:t>
      </w:r>
      <w:r>
        <w:rPr>
          <w:spacing w:val="-3"/>
        </w:rPr>
        <w:t xml:space="preserve"> </w:t>
      </w:r>
      <w:r>
        <w:t>a third-party) to support the infrastructure costs associated with one-stop operations. The value of third-party</w:t>
      </w:r>
      <w:r>
        <w:rPr>
          <w:spacing w:val="18"/>
        </w:rPr>
        <w:t xml:space="preserve"> </w:t>
      </w:r>
      <w:r>
        <w:t>in-kind</w:t>
      </w:r>
      <w:r>
        <w:rPr>
          <w:spacing w:val="25"/>
        </w:rPr>
        <w:t xml:space="preserve"> </w:t>
      </w:r>
      <w:r>
        <w:t>contributions</w:t>
      </w:r>
      <w:r>
        <w:rPr>
          <w:spacing w:val="25"/>
        </w:rPr>
        <w:t xml:space="preserve"> </w:t>
      </w:r>
      <w:r>
        <w:t>must</w:t>
      </w:r>
      <w:r>
        <w:rPr>
          <w:spacing w:val="25"/>
        </w:rPr>
        <w:t xml:space="preserve"> </w:t>
      </w:r>
      <w:r>
        <w:t>also</w:t>
      </w:r>
      <w:r>
        <w:rPr>
          <w:spacing w:val="25"/>
        </w:rPr>
        <w:t xml:space="preserve"> </w:t>
      </w:r>
      <w:r>
        <w:t>be</w:t>
      </w:r>
      <w:r>
        <w:rPr>
          <w:spacing w:val="24"/>
        </w:rPr>
        <w:t xml:space="preserve"> </w:t>
      </w:r>
      <w:r>
        <w:t>consistent</w:t>
      </w:r>
      <w:r>
        <w:rPr>
          <w:spacing w:val="26"/>
        </w:rPr>
        <w:t xml:space="preserve"> </w:t>
      </w:r>
      <w:r>
        <w:t>with</w:t>
      </w:r>
      <w:r>
        <w:rPr>
          <w:spacing w:val="25"/>
        </w:rPr>
        <w:t xml:space="preserve"> </w:t>
      </w:r>
      <w:r>
        <w:t>the</w:t>
      </w:r>
      <w:r>
        <w:rPr>
          <w:spacing w:val="24"/>
        </w:rPr>
        <w:t xml:space="preserve"> </w:t>
      </w:r>
      <w:r>
        <w:t>Uniform</w:t>
      </w:r>
      <w:r>
        <w:rPr>
          <w:spacing w:val="25"/>
        </w:rPr>
        <w:t xml:space="preserve"> </w:t>
      </w:r>
      <w:r>
        <w:t>Guidance</w:t>
      </w:r>
      <w:r>
        <w:rPr>
          <w:spacing w:val="24"/>
        </w:rPr>
        <w:t xml:space="preserve"> </w:t>
      </w:r>
      <w:r>
        <w:t>at</w:t>
      </w:r>
      <w:r>
        <w:rPr>
          <w:spacing w:val="25"/>
        </w:rPr>
        <w:t xml:space="preserve"> </w:t>
      </w:r>
      <w:r>
        <w:t>2</w:t>
      </w:r>
      <w:r>
        <w:rPr>
          <w:spacing w:val="26"/>
        </w:rPr>
        <w:t xml:space="preserve"> </w:t>
      </w:r>
      <w:r>
        <w:rPr>
          <w:spacing w:val="-5"/>
        </w:rPr>
        <w:t>CFR</w:t>
      </w:r>
    </w:p>
    <w:p w14:paraId="365A96AC" w14:textId="0ED153AB" w:rsidR="00E41A5B" w:rsidRDefault="009148E4">
      <w:pPr>
        <w:pStyle w:val="BodyText"/>
        <w:ind w:left="1300" w:right="1356"/>
      </w:pPr>
      <w:r w:rsidRPr="009148E4">
        <w:t>§</w:t>
      </w:r>
      <w:r>
        <w:t xml:space="preserve"> </w:t>
      </w:r>
      <w:r w:rsidR="00DA7B02">
        <w:t>200.306 and reconciled on a regular basis (i.e., monthly or quarterly) to ensure they are fairly evaluated and, if contributed on behalf of a particular program partner, meet the partner’s proportionate share.</w:t>
      </w:r>
    </w:p>
    <w:p w14:paraId="365A96AE" w14:textId="3530FD52" w:rsidR="00E41A5B" w:rsidRDefault="00DA7B02" w:rsidP="009148E4">
      <w:pPr>
        <w:pStyle w:val="BodyText"/>
        <w:ind w:left="1300" w:right="1354"/>
      </w:pPr>
      <w:r>
        <w:t>There are two types of third-party in-kind contributions: (a) general contributions to one-stop operations (i.e., those not connected to any individual one-stop partner); and (b) those made specifically</w:t>
      </w:r>
      <w:r>
        <w:rPr>
          <w:spacing w:val="2"/>
        </w:rPr>
        <w:t xml:space="preserve"> </w:t>
      </w:r>
      <w:r>
        <w:t>to</w:t>
      </w:r>
      <w:r>
        <w:rPr>
          <w:spacing w:val="8"/>
        </w:rPr>
        <w:t xml:space="preserve"> </w:t>
      </w:r>
      <w:r>
        <w:t>a</w:t>
      </w:r>
      <w:r>
        <w:rPr>
          <w:spacing w:val="7"/>
        </w:rPr>
        <w:t xml:space="preserve"> </w:t>
      </w:r>
      <w:r>
        <w:t>one-stop</w:t>
      </w:r>
      <w:r>
        <w:rPr>
          <w:spacing w:val="8"/>
        </w:rPr>
        <w:t xml:space="preserve"> </w:t>
      </w:r>
      <w:r>
        <w:t>partner</w:t>
      </w:r>
      <w:r>
        <w:rPr>
          <w:spacing w:val="7"/>
        </w:rPr>
        <w:t xml:space="preserve"> </w:t>
      </w:r>
      <w:r>
        <w:t>program</w:t>
      </w:r>
      <w:r>
        <w:rPr>
          <w:spacing w:val="8"/>
        </w:rPr>
        <w:t xml:space="preserve"> </w:t>
      </w:r>
      <w:r>
        <w:t>(20</w:t>
      </w:r>
      <w:r>
        <w:rPr>
          <w:spacing w:val="8"/>
        </w:rPr>
        <w:t xml:space="preserve"> </w:t>
      </w:r>
      <w:r>
        <w:t>CFR</w:t>
      </w:r>
      <w:r>
        <w:rPr>
          <w:spacing w:val="9"/>
        </w:rPr>
        <w:t xml:space="preserve"> </w:t>
      </w:r>
      <w:r w:rsidR="009148E4" w:rsidRPr="009148E4">
        <w:rPr>
          <w:spacing w:val="9"/>
        </w:rPr>
        <w:t>§</w:t>
      </w:r>
      <w:r w:rsidR="009148E4">
        <w:t>§</w:t>
      </w:r>
      <w:r w:rsidR="009148E4">
        <w:t xml:space="preserve"> </w:t>
      </w:r>
      <w:r>
        <w:t>678.715,</w:t>
      </w:r>
      <w:r>
        <w:rPr>
          <w:spacing w:val="8"/>
        </w:rPr>
        <w:t xml:space="preserve"> </w:t>
      </w:r>
      <w:r>
        <w:t>34</w:t>
      </w:r>
      <w:r>
        <w:rPr>
          <w:spacing w:val="5"/>
        </w:rPr>
        <w:t xml:space="preserve"> </w:t>
      </w:r>
      <w:r>
        <w:t>CFR</w:t>
      </w:r>
      <w:r>
        <w:rPr>
          <w:spacing w:val="9"/>
        </w:rPr>
        <w:t xml:space="preserve"> </w:t>
      </w:r>
      <w:r>
        <w:t>361.715,</w:t>
      </w:r>
      <w:r>
        <w:rPr>
          <w:spacing w:val="8"/>
        </w:rPr>
        <w:t xml:space="preserve"> </w:t>
      </w:r>
      <w:r>
        <w:t>34</w:t>
      </w:r>
      <w:r>
        <w:rPr>
          <w:spacing w:val="8"/>
        </w:rPr>
        <w:t xml:space="preserve"> </w:t>
      </w:r>
      <w:r>
        <w:t>CFR</w:t>
      </w:r>
      <w:r>
        <w:rPr>
          <w:spacing w:val="9"/>
        </w:rPr>
        <w:t xml:space="preserve"> </w:t>
      </w:r>
      <w:r>
        <w:rPr>
          <w:spacing w:val="-2"/>
        </w:rPr>
        <w:t>463.715,</w:t>
      </w:r>
      <w:r w:rsidR="009148E4">
        <w:t xml:space="preserve"> </w:t>
      </w:r>
      <w:r>
        <w:t>and</w:t>
      </w:r>
      <w:r>
        <w:rPr>
          <w:spacing w:val="-1"/>
        </w:rPr>
        <w:t xml:space="preserve"> </w:t>
      </w:r>
      <w:r>
        <w:t>2</w:t>
      </w:r>
      <w:r>
        <w:rPr>
          <w:spacing w:val="-1"/>
        </w:rPr>
        <w:t xml:space="preserve"> </w:t>
      </w:r>
      <w:r>
        <w:t>CFR</w:t>
      </w:r>
      <w:r>
        <w:rPr>
          <w:spacing w:val="-1"/>
        </w:rPr>
        <w:t xml:space="preserve"> </w:t>
      </w:r>
      <w:r>
        <w:rPr>
          <w:spacing w:val="-2"/>
        </w:rPr>
        <w:t>200.306).</w:t>
      </w:r>
    </w:p>
    <w:p w14:paraId="365A96AF" w14:textId="2D26DED9" w:rsidR="00E41A5B" w:rsidRDefault="00DA7B02">
      <w:pPr>
        <w:pStyle w:val="BodyText"/>
        <w:spacing w:before="264"/>
        <w:ind w:left="1660" w:right="1354"/>
      </w:pPr>
      <w:r>
        <w:rPr>
          <w:b/>
        </w:rPr>
        <w:t xml:space="preserve">Example 1: </w:t>
      </w:r>
      <w:r>
        <w:t xml:space="preserve">For PY 2017, a local county government that is not a one-stop partner has a vacant building and would like to donate the space for use as a one-stop center. This in-kind contribution would not be associated with one specific </w:t>
      </w:r>
      <w:proofErr w:type="gramStart"/>
      <w:r>
        <w:t>partner, but</w:t>
      </w:r>
      <w:proofErr w:type="gramEnd"/>
      <w:r>
        <w:t xml:space="preserve"> rather would go to</w:t>
      </w:r>
      <w:r>
        <w:rPr>
          <w:spacing w:val="80"/>
        </w:rPr>
        <w:t xml:space="preserve"> </w:t>
      </w:r>
      <w:r>
        <w:t xml:space="preserve">support the one-stop center generally and would be factored into the underlying budget and cost pools used to determine proportionate share of the partners, meaning that each partner’s proportionate share may be lower. The valuation of donated space by a third party must adhere to the Uniform Guidance at 2 CFR </w:t>
      </w:r>
      <w:r w:rsidR="009148E4">
        <w:t>§</w:t>
      </w:r>
      <w:r w:rsidR="009148E4">
        <w:t xml:space="preserve"> </w:t>
      </w:r>
      <w:r>
        <w:t>200.306(</w:t>
      </w:r>
      <w:proofErr w:type="spellStart"/>
      <w:r>
        <w:t>i</w:t>
      </w:r>
      <w:proofErr w:type="spellEnd"/>
      <w:r>
        <w:t>)(3). The annual fair rental value of comparable space</w:t>
      </w:r>
      <w:r>
        <w:rPr>
          <w:spacing w:val="-1"/>
        </w:rPr>
        <w:t xml:space="preserve"> </w:t>
      </w:r>
      <w:r>
        <w:t>in the same</w:t>
      </w:r>
      <w:r>
        <w:rPr>
          <w:spacing w:val="-1"/>
        </w:rPr>
        <w:t xml:space="preserve"> </w:t>
      </w:r>
      <w:r>
        <w:t>locality, as established by</w:t>
      </w:r>
      <w:r>
        <w:rPr>
          <w:spacing w:val="-2"/>
        </w:rPr>
        <w:t xml:space="preserve"> </w:t>
      </w:r>
      <w:r>
        <w:t xml:space="preserve">an independent </w:t>
      </w:r>
      <w:proofErr w:type="gramStart"/>
      <w:r>
        <w:t>appraisal</w:t>
      </w:r>
      <w:proofErr w:type="gramEnd"/>
      <w:r>
        <w:t xml:space="preserve"> is $77,000. As with all non-cash and third-</w:t>
      </w:r>
      <w:proofErr w:type="gramStart"/>
      <w:r>
        <w:t>party in-kind</w:t>
      </w:r>
      <w:proofErr w:type="gramEnd"/>
      <w:r>
        <w:t xml:space="preserve"> contributions, the value at which the space has been appraised is the amount accounted for in the infrastructure budget. The partners may</w:t>
      </w:r>
      <w:r>
        <w:rPr>
          <w:spacing w:val="80"/>
        </w:rPr>
        <w:t xml:space="preserve"> </w:t>
      </w:r>
      <w:r>
        <w:t>use this donation of space as an offset towards the entire budget for infrastructure, thus reducing the partners’ individual contributions. The valuation of the donated space must be assessed again each subsequent year.</w:t>
      </w:r>
    </w:p>
    <w:p w14:paraId="365A96B0" w14:textId="77777777" w:rsidR="00E41A5B" w:rsidRDefault="00E41A5B">
      <w:pPr>
        <w:pStyle w:val="BodyText"/>
        <w:jc w:val="left"/>
      </w:pPr>
    </w:p>
    <w:p w14:paraId="365A96B1" w14:textId="77777777" w:rsidR="00E41A5B" w:rsidRDefault="00DA7B02">
      <w:pPr>
        <w:pStyle w:val="BodyText"/>
        <w:ind w:left="1299" w:right="1356"/>
      </w:pPr>
      <w:r>
        <w:t>The second type of in-kind contribution is a third-party contribution to a specific partner to support that partner’s proportionate share of one-stop infrastructure costs. If the contribution was in</w:t>
      </w:r>
      <w:r>
        <w:rPr>
          <w:spacing w:val="-1"/>
        </w:rPr>
        <w:t xml:space="preserve"> </w:t>
      </w:r>
      <w:r>
        <w:t>the</w:t>
      </w:r>
      <w:r>
        <w:rPr>
          <w:spacing w:val="-2"/>
        </w:rPr>
        <w:t xml:space="preserve"> </w:t>
      </w:r>
      <w:r>
        <w:t>one-stop</w:t>
      </w:r>
      <w:r>
        <w:rPr>
          <w:spacing w:val="-1"/>
        </w:rPr>
        <w:t xml:space="preserve"> </w:t>
      </w:r>
      <w:r>
        <w:t>center’s</w:t>
      </w:r>
      <w:r>
        <w:rPr>
          <w:spacing w:val="-1"/>
        </w:rPr>
        <w:t xml:space="preserve"> </w:t>
      </w:r>
      <w:r>
        <w:t>budget</w:t>
      </w:r>
      <w:r>
        <w:rPr>
          <w:spacing w:val="-1"/>
        </w:rPr>
        <w:t xml:space="preserve"> </w:t>
      </w:r>
      <w:r>
        <w:t>for</w:t>
      </w:r>
      <w:r>
        <w:rPr>
          <w:spacing w:val="-2"/>
        </w:rPr>
        <w:t xml:space="preserve"> </w:t>
      </w:r>
      <w:r>
        <w:t>infrastructure</w:t>
      </w:r>
      <w:r>
        <w:rPr>
          <w:spacing w:val="-2"/>
        </w:rPr>
        <w:t xml:space="preserve"> </w:t>
      </w:r>
      <w:r>
        <w:t>costs,</w:t>
      </w:r>
      <w:r>
        <w:rPr>
          <w:spacing w:val="-1"/>
        </w:rPr>
        <w:t xml:space="preserve"> </w:t>
      </w:r>
      <w:r>
        <w:t>the</w:t>
      </w:r>
      <w:r>
        <w:rPr>
          <w:spacing w:val="-2"/>
        </w:rPr>
        <w:t xml:space="preserve"> </w:t>
      </w:r>
      <w:r>
        <w:t>partner</w:t>
      </w:r>
      <w:r>
        <w:rPr>
          <w:spacing w:val="-2"/>
        </w:rPr>
        <w:t xml:space="preserve"> </w:t>
      </w:r>
      <w:r>
        <w:t>could</w:t>
      </w:r>
      <w:r>
        <w:rPr>
          <w:spacing w:val="-1"/>
        </w:rPr>
        <w:t xml:space="preserve"> </w:t>
      </w:r>
      <w:r>
        <w:t>then</w:t>
      </w:r>
      <w:r>
        <w:rPr>
          <w:spacing w:val="-1"/>
        </w:rPr>
        <w:t xml:space="preserve"> </w:t>
      </w:r>
      <w:r>
        <w:t>use</w:t>
      </w:r>
      <w:r>
        <w:rPr>
          <w:spacing w:val="-2"/>
        </w:rPr>
        <w:t xml:space="preserve"> </w:t>
      </w:r>
      <w:r>
        <w:t>the</w:t>
      </w:r>
      <w:r>
        <w:rPr>
          <w:spacing w:val="-2"/>
        </w:rPr>
        <w:t xml:space="preserve"> </w:t>
      </w:r>
      <w:r>
        <w:t>value</w:t>
      </w:r>
      <w:r>
        <w:rPr>
          <w:spacing w:val="-2"/>
        </w:rPr>
        <w:t xml:space="preserve"> </w:t>
      </w:r>
      <w:r>
        <w:t>of</w:t>
      </w:r>
      <w:r>
        <w:rPr>
          <w:spacing w:val="-2"/>
        </w:rPr>
        <w:t xml:space="preserve"> </w:t>
      </w:r>
      <w:r>
        <w:t>the third-party in-kind contribution to count towards its proportionate share.</w:t>
      </w:r>
    </w:p>
    <w:p w14:paraId="365A96B2" w14:textId="77777777" w:rsidR="00E41A5B" w:rsidRDefault="00E41A5B">
      <w:pPr>
        <w:pStyle w:val="BodyText"/>
        <w:jc w:val="left"/>
      </w:pPr>
    </w:p>
    <w:p w14:paraId="365A96B3" w14:textId="77777777" w:rsidR="00E41A5B" w:rsidRDefault="00DA7B02">
      <w:pPr>
        <w:pStyle w:val="BodyText"/>
        <w:ind w:left="1659" w:right="1360"/>
      </w:pPr>
      <w:r>
        <w:rPr>
          <w:b/>
        </w:rPr>
        <w:t xml:space="preserve">Example 2: </w:t>
      </w:r>
      <w:r>
        <w:t>An employer provides assistive technology equipment to a VR program located in</w:t>
      </w:r>
      <w:r>
        <w:rPr>
          <w:spacing w:val="47"/>
        </w:rPr>
        <w:t xml:space="preserve"> </w:t>
      </w:r>
      <w:r>
        <w:t>a</w:t>
      </w:r>
      <w:r>
        <w:rPr>
          <w:spacing w:val="49"/>
        </w:rPr>
        <w:t xml:space="preserve"> </w:t>
      </w:r>
      <w:r>
        <w:t>one-stop</w:t>
      </w:r>
      <w:r>
        <w:rPr>
          <w:spacing w:val="51"/>
        </w:rPr>
        <w:t xml:space="preserve"> </w:t>
      </w:r>
      <w:r>
        <w:t>center.</w:t>
      </w:r>
      <w:r>
        <w:rPr>
          <w:spacing w:val="52"/>
        </w:rPr>
        <w:t xml:space="preserve"> </w:t>
      </w:r>
      <w:r>
        <w:t>The</w:t>
      </w:r>
      <w:r>
        <w:rPr>
          <w:spacing w:val="49"/>
        </w:rPr>
        <w:t xml:space="preserve"> </w:t>
      </w:r>
      <w:r>
        <w:t>acquisition</w:t>
      </w:r>
      <w:r>
        <w:rPr>
          <w:spacing w:val="49"/>
        </w:rPr>
        <w:t xml:space="preserve"> </w:t>
      </w:r>
      <w:r>
        <w:t>cost</w:t>
      </w:r>
      <w:r>
        <w:rPr>
          <w:spacing w:val="50"/>
        </w:rPr>
        <w:t xml:space="preserve"> </w:t>
      </w:r>
      <w:r>
        <w:t>at</w:t>
      </w:r>
      <w:r>
        <w:rPr>
          <w:spacing w:val="49"/>
        </w:rPr>
        <w:t xml:space="preserve"> </w:t>
      </w:r>
      <w:r>
        <w:t>the</w:t>
      </w:r>
      <w:r>
        <w:rPr>
          <w:spacing w:val="49"/>
        </w:rPr>
        <w:t xml:space="preserve"> </w:t>
      </w:r>
      <w:r>
        <w:t>time</w:t>
      </w:r>
      <w:r>
        <w:rPr>
          <w:spacing w:val="49"/>
        </w:rPr>
        <w:t xml:space="preserve"> </w:t>
      </w:r>
      <w:r>
        <w:t>of</w:t>
      </w:r>
      <w:r>
        <w:rPr>
          <w:spacing w:val="48"/>
        </w:rPr>
        <w:t xml:space="preserve"> </w:t>
      </w:r>
      <w:r>
        <w:t>purchase</w:t>
      </w:r>
      <w:r>
        <w:rPr>
          <w:spacing w:val="51"/>
        </w:rPr>
        <w:t xml:space="preserve"> </w:t>
      </w:r>
      <w:r>
        <w:t>by</w:t>
      </w:r>
      <w:r>
        <w:rPr>
          <w:spacing w:val="47"/>
        </w:rPr>
        <w:t xml:space="preserve"> </w:t>
      </w:r>
      <w:r>
        <w:t>the</w:t>
      </w:r>
      <w:r>
        <w:rPr>
          <w:spacing w:val="49"/>
        </w:rPr>
        <w:t xml:space="preserve"> </w:t>
      </w:r>
      <w:r>
        <w:t>employer</w:t>
      </w:r>
      <w:r>
        <w:rPr>
          <w:spacing w:val="52"/>
        </w:rPr>
        <w:t xml:space="preserve"> </w:t>
      </w:r>
      <w:r>
        <w:rPr>
          <w:spacing w:val="-5"/>
        </w:rPr>
        <w:t>was</w:t>
      </w:r>
    </w:p>
    <w:p w14:paraId="365A96B4" w14:textId="42A1AF00" w:rsidR="00E41A5B" w:rsidRDefault="00DA7B02">
      <w:pPr>
        <w:pStyle w:val="BodyText"/>
        <w:ind w:left="1659" w:right="1354"/>
      </w:pPr>
      <w:r>
        <w:t xml:space="preserve">$6,800, and at the time of the donation, the fair market value was assessed as $4,500. If the assistive technology equipment was in the one-stop center’s budget for infrastructure costs, the partner could use the fair market value of the donation towards its contribution. The Uniform Guidance at 2 CFR </w:t>
      </w:r>
      <w:r w:rsidR="009148E4">
        <w:t>§</w:t>
      </w:r>
      <w:r w:rsidR="009148E4">
        <w:t xml:space="preserve"> </w:t>
      </w:r>
      <w:r>
        <w:t>200.306(g) requires that the equipment be valued at no more than the fair market value ($4,500) at the time of donation.</w:t>
      </w:r>
    </w:p>
    <w:p w14:paraId="365A96B5" w14:textId="77777777" w:rsidR="00E41A5B" w:rsidRDefault="00E41A5B">
      <w:pPr>
        <w:pStyle w:val="BodyText"/>
        <w:jc w:val="left"/>
      </w:pPr>
    </w:p>
    <w:p w14:paraId="365A96B6" w14:textId="77777777" w:rsidR="00E41A5B" w:rsidRDefault="00DA7B02">
      <w:pPr>
        <w:pStyle w:val="BodyText"/>
        <w:spacing w:before="1"/>
        <w:ind w:left="1659" w:right="1356"/>
      </w:pPr>
      <w:r>
        <w:rPr>
          <w:b/>
        </w:rPr>
        <w:t xml:space="preserve">Example 3: </w:t>
      </w:r>
      <w:r>
        <w:t>A local literacy foundation wants to donate gently used computer equipment to the local one-stop center to support the infrastructure cost contribution of the designated AEFLA</w:t>
      </w:r>
      <w:r>
        <w:rPr>
          <w:spacing w:val="-2"/>
        </w:rPr>
        <w:t xml:space="preserve"> </w:t>
      </w:r>
      <w:r>
        <w:t>partner</w:t>
      </w:r>
      <w:r>
        <w:rPr>
          <w:spacing w:val="-2"/>
        </w:rPr>
        <w:t xml:space="preserve"> </w:t>
      </w:r>
      <w:r>
        <w:t>program in</w:t>
      </w:r>
      <w:r>
        <w:rPr>
          <w:spacing w:val="-1"/>
        </w:rPr>
        <w:t xml:space="preserve"> </w:t>
      </w:r>
      <w:r>
        <w:t>the</w:t>
      </w:r>
      <w:r>
        <w:rPr>
          <w:spacing w:val="-2"/>
        </w:rPr>
        <w:t xml:space="preserve"> </w:t>
      </w:r>
      <w:r>
        <w:t>local</w:t>
      </w:r>
      <w:r>
        <w:rPr>
          <w:spacing w:val="-1"/>
        </w:rPr>
        <w:t xml:space="preserve"> </w:t>
      </w:r>
      <w:r>
        <w:t>community. Computer</w:t>
      </w:r>
      <w:r>
        <w:rPr>
          <w:spacing w:val="-2"/>
        </w:rPr>
        <w:t xml:space="preserve"> </w:t>
      </w:r>
      <w:r>
        <w:t>equipment</w:t>
      </w:r>
      <w:r>
        <w:rPr>
          <w:spacing w:val="-1"/>
        </w:rPr>
        <w:t xml:space="preserve"> </w:t>
      </w:r>
      <w:r>
        <w:t>is</w:t>
      </w:r>
      <w:r>
        <w:rPr>
          <w:spacing w:val="-1"/>
        </w:rPr>
        <w:t xml:space="preserve"> </w:t>
      </w:r>
      <w:r>
        <w:t>part</w:t>
      </w:r>
      <w:r>
        <w:rPr>
          <w:spacing w:val="-1"/>
        </w:rPr>
        <w:t xml:space="preserve"> </w:t>
      </w:r>
      <w:r>
        <w:t>of</w:t>
      </w:r>
      <w:r>
        <w:rPr>
          <w:spacing w:val="-2"/>
        </w:rPr>
        <w:t xml:space="preserve"> </w:t>
      </w:r>
      <w:r>
        <w:t>the</w:t>
      </w:r>
      <w:r>
        <w:rPr>
          <w:spacing w:val="-2"/>
        </w:rPr>
        <w:t xml:space="preserve"> </w:t>
      </w:r>
      <w:r>
        <w:t>one-stop operating</w:t>
      </w:r>
      <w:r>
        <w:rPr>
          <w:spacing w:val="-1"/>
        </w:rPr>
        <w:t xml:space="preserve"> </w:t>
      </w:r>
      <w:r>
        <w:t>budget.</w:t>
      </w:r>
      <w:r>
        <w:rPr>
          <w:spacing w:val="4"/>
        </w:rPr>
        <w:t xml:space="preserve"> </w:t>
      </w:r>
      <w:r>
        <w:t>The</w:t>
      </w:r>
      <w:r>
        <w:rPr>
          <w:spacing w:val="3"/>
        </w:rPr>
        <w:t xml:space="preserve"> </w:t>
      </w:r>
      <w:r>
        <w:t>fair</w:t>
      </w:r>
      <w:r>
        <w:rPr>
          <w:spacing w:val="3"/>
        </w:rPr>
        <w:t xml:space="preserve"> </w:t>
      </w:r>
      <w:r>
        <w:t>market</w:t>
      </w:r>
      <w:r>
        <w:rPr>
          <w:spacing w:val="5"/>
        </w:rPr>
        <w:t xml:space="preserve"> </w:t>
      </w:r>
      <w:r>
        <w:t>value</w:t>
      </w:r>
      <w:r>
        <w:rPr>
          <w:spacing w:val="3"/>
        </w:rPr>
        <w:t xml:space="preserve"> </w:t>
      </w:r>
      <w:r>
        <w:t>of</w:t>
      </w:r>
      <w:r>
        <w:rPr>
          <w:spacing w:val="3"/>
        </w:rPr>
        <w:t xml:space="preserve"> </w:t>
      </w:r>
      <w:r>
        <w:t>the</w:t>
      </w:r>
      <w:r>
        <w:rPr>
          <w:spacing w:val="3"/>
        </w:rPr>
        <w:t xml:space="preserve"> </w:t>
      </w:r>
      <w:r>
        <w:t>computer</w:t>
      </w:r>
      <w:r>
        <w:rPr>
          <w:spacing w:val="4"/>
        </w:rPr>
        <w:t xml:space="preserve"> </w:t>
      </w:r>
      <w:r>
        <w:t>equipment</w:t>
      </w:r>
      <w:r>
        <w:rPr>
          <w:spacing w:val="4"/>
        </w:rPr>
        <w:t xml:space="preserve"> </w:t>
      </w:r>
      <w:r>
        <w:t>is</w:t>
      </w:r>
      <w:r>
        <w:rPr>
          <w:spacing w:val="5"/>
        </w:rPr>
        <w:t xml:space="preserve"> </w:t>
      </w:r>
      <w:r>
        <w:t>valued</w:t>
      </w:r>
      <w:r>
        <w:rPr>
          <w:spacing w:val="4"/>
        </w:rPr>
        <w:t xml:space="preserve"> </w:t>
      </w:r>
      <w:r>
        <w:t>at</w:t>
      </w:r>
      <w:r>
        <w:rPr>
          <w:spacing w:val="4"/>
        </w:rPr>
        <w:t xml:space="preserve"> </w:t>
      </w:r>
      <w:r>
        <w:t>$9,200</w:t>
      </w:r>
      <w:r>
        <w:rPr>
          <w:spacing w:val="4"/>
        </w:rPr>
        <w:t xml:space="preserve"> </w:t>
      </w:r>
      <w:r>
        <w:t>at</w:t>
      </w:r>
      <w:r>
        <w:rPr>
          <w:spacing w:val="5"/>
        </w:rPr>
        <w:t xml:space="preserve"> </w:t>
      </w:r>
      <w:r>
        <w:rPr>
          <w:spacing w:val="-5"/>
        </w:rPr>
        <w:t>the</w:t>
      </w:r>
    </w:p>
    <w:p w14:paraId="365A96B7" w14:textId="77777777" w:rsidR="00E41A5B" w:rsidRDefault="00E41A5B">
      <w:pPr>
        <w:sectPr w:rsidR="00E41A5B">
          <w:pgSz w:w="12240" w:h="15840"/>
          <w:pgMar w:top="1360" w:right="80" w:bottom="1540" w:left="140" w:header="0" w:footer="1345" w:gutter="0"/>
          <w:cols w:space="720"/>
        </w:sectPr>
      </w:pPr>
    </w:p>
    <w:p w14:paraId="365A96B8" w14:textId="77777777" w:rsidR="00E41A5B" w:rsidRDefault="00DA7B02">
      <w:pPr>
        <w:pStyle w:val="BodyText"/>
        <w:spacing w:before="72"/>
        <w:ind w:left="1659" w:right="1358"/>
      </w:pPr>
      <w:r>
        <w:lastRenderedPageBreak/>
        <w:t>time of donation. The AEFLA partner program’s proportionate use of the one-stop center is determined to be</w:t>
      </w:r>
      <w:r>
        <w:rPr>
          <w:spacing w:val="-1"/>
        </w:rPr>
        <w:t xml:space="preserve"> </w:t>
      </w:r>
      <w:r>
        <w:t>$12,500. The</w:t>
      </w:r>
      <w:r>
        <w:rPr>
          <w:spacing w:val="-1"/>
        </w:rPr>
        <w:t xml:space="preserve"> </w:t>
      </w:r>
      <w:r>
        <w:t>AEFLA</w:t>
      </w:r>
      <w:r>
        <w:rPr>
          <w:spacing w:val="-1"/>
        </w:rPr>
        <w:t xml:space="preserve"> </w:t>
      </w:r>
      <w:r>
        <w:t>partner</w:t>
      </w:r>
      <w:r>
        <w:rPr>
          <w:spacing w:val="-1"/>
        </w:rPr>
        <w:t xml:space="preserve"> </w:t>
      </w:r>
      <w:r>
        <w:t>program may</w:t>
      </w:r>
      <w:r>
        <w:rPr>
          <w:spacing w:val="-5"/>
        </w:rPr>
        <w:t xml:space="preserve"> </w:t>
      </w:r>
      <w:r>
        <w:t>use</w:t>
      </w:r>
      <w:r>
        <w:rPr>
          <w:spacing w:val="-1"/>
        </w:rPr>
        <w:t xml:space="preserve"> </w:t>
      </w:r>
      <w:r>
        <w:t>the</w:t>
      </w:r>
      <w:r>
        <w:rPr>
          <w:spacing w:val="-1"/>
        </w:rPr>
        <w:t xml:space="preserve"> </w:t>
      </w:r>
      <w:r>
        <w:t>fair market value</w:t>
      </w:r>
      <w:r>
        <w:rPr>
          <w:spacing w:val="-1"/>
        </w:rPr>
        <w:t xml:space="preserve"> </w:t>
      </w:r>
      <w:r>
        <w:t>of</w:t>
      </w:r>
      <w:r>
        <w:rPr>
          <w:spacing w:val="-1"/>
        </w:rPr>
        <w:t xml:space="preserve"> </w:t>
      </w:r>
      <w:r>
        <w:t>this equipment</w:t>
      </w:r>
      <w:r>
        <w:rPr>
          <w:spacing w:val="-4"/>
        </w:rPr>
        <w:t xml:space="preserve"> </w:t>
      </w:r>
      <w:r>
        <w:t>towards</w:t>
      </w:r>
      <w:r>
        <w:rPr>
          <w:spacing w:val="-4"/>
        </w:rPr>
        <w:t xml:space="preserve"> </w:t>
      </w:r>
      <w:r>
        <w:t>its</w:t>
      </w:r>
      <w:r>
        <w:rPr>
          <w:spacing w:val="-4"/>
        </w:rPr>
        <w:t xml:space="preserve"> </w:t>
      </w:r>
      <w:r>
        <w:t>infrastructure</w:t>
      </w:r>
      <w:r>
        <w:rPr>
          <w:spacing w:val="-5"/>
        </w:rPr>
        <w:t xml:space="preserve"> </w:t>
      </w:r>
      <w:r>
        <w:t>cost</w:t>
      </w:r>
      <w:r>
        <w:rPr>
          <w:spacing w:val="-2"/>
        </w:rPr>
        <w:t xml:space="preserve"> </w:t>
      </w:r>
      <w:r>
        <w:t>contribution</w:t>
      </w:r>
      <w:r>
        <w:rPr>
          <w:spacing w:val="-4"/>
        </w:rPr>
        <w:t xml:space="preserve"> </w:t>
      </w:r>
      <w:r>
        <w:t>for</w:t>
      </w:r>
      <w:r>
        <w:rPr>
          <w:spacing w:val="-5"/>
        </w:rPr>
        <w:t xml:space="preserve"> </w:t>
      </w:r>
      <w:r>
        <w:t>that</w:t>
      </w:r>
      <w:r>
        <w:rPr>
          <w:spacing w:val="-4"/>
        </w:rPr>
        <w:t xml:space="preserve"> </w:t>
      </w:r>
      <w:r>
        <w:t>program year.</w:t>
      </w:r>
      <w:r>
        <w:rPr>
          <w:spacing w:val="-4"/>
        </w:rPr>
        <w:t xml:space="preserve"> </w:t>
      </w:r>
      <w:r>
        <w:t>Furthermore,</w:t>
      </w:r>
      <w:r>
        <w:rPr>
          <w:spacing w:val="-2"/>
        </w:rPr>
        <w:t xml:space="preserve"> </w:t>
      </w:r>
      <w:r>
        <w:t>the AEFLA partner program is required to contribute an additional $3,300 in resources to pay</w:t>
      </w:r>
      <w:r>
        <w:rPr>
          <w:spacing w:val="-2"/>
        </w:rPr>
        <w:t xml:space="preserve"> </w:t>
      </w:r>
      <w:r>
        <w:t>its remaining share.</w:t>
      </w:r>
    </w:p>
    <w:p w14:paraId="365A96B9" w14:textId="77777777" w:rsidR="00E41A5B" w:rsidRDefault="00E41A5B">
      <w:pPr>
        <w:pStyle w:val="BodyText"/>
        <w:jc w:val="left"/>
      </w:pPr>
    </w:p>
    <w:p w14:paraId="365A96BA" w14:textId="374AF4E4" w:rsidR="00E41A5B" w:rsidRDefault="00DA7B02">
      <w:pPr>
        <w:pStyle w:val="BodyText"/>
        <w:ind w:left="1299" w:right="1354"/>
      </w:pPr>
      <w:r>
        <w:rPr>
          <w:b/>
        </w:rPr>
        <w:t xml:space="preserve">Infrastructure Funding Agreements (IFA). </w:t>
      </w:r>
      <w:r>
        <w:t>The IFA contains the infrastructure costs budget, which</w:t>
      </w:r>
      <w:r>
        <w:rPr>
          <w:spacing w:val="-2"/>
        </w:rPr>
        <w:t xml:space="preserve"> </w:t>
      </w:r>
      <w:r>
        <w:t>is</w:t>
      </w:r>
      <w:r>
        <w:rPr>
          <w:spacing w:val="-2"/>
        </w:rPr>
        <w:t xml:space="preserve"> </w:t>
      </w:r>
      <w:r>
        <w:t>an</w:t>
      </w:r>
      <w:r>
        <w:rPr>
          <w:spacing w:val="-2"/>
        </w:rPr>
        <w:t xml:space="preserve"> </w:t>
      </w:r>
      <w:r>
        <w:t>integral</w:t>
      </w:r>
      <w:r>
        <w:rPr>
          <w:spacing w:val="-2"/>
        </w:rPr>
        <w:t xml:space="preserve"> </w:t>
      </w:r>
      <w:r>
        <w:t>component</w:t>
      </w:r>
      <w:r>
        <w:rPr>
          <w:spacing w:val="-2"/>
        </w:rPr>
        <w:t xml:space="preserve"> </w:t>
      </w:r>
      <w:r>
        <w:t>of</w:t>
      </w:r>
      <w:r>
        <w:rPr>
          <w:spacing w:val="-3"/>
        </w:rPr>
        <w:t xml:space="preserve"> </w:t>
      </w:r>
      <w:r>
        <w:t>the</w:t>
      </w:r>
      <w:r>
        <w:rPr>
          <w:spacing w:val="-1"/>
        </w:rPr>
        <w:t xml:space="preserve"> </w:t>
      </w:r>
      <w:r>
        <w:t>overall</w:t>
      </w:r>
      <w:r>
        <w:rPr>
          <w:spacing w:val="-2"/>
        </w:rPr>
        <w:t xml:space="preserve"> </w:t>
      </w:r>
      <w:r>
        <w:t>one-stop</w:t>
      </w:r>
      <w:r>
        <w:rPr>
          <w:spacing w:val="-2"/>
        </w:rPr>
        <w:t xml:space="preserve"> </w:t>
      </w:r>
      <w:r>
        <w:t>operating</w:t>
      </w:r>
      <w:r>
        <w:rPr>
          <w:spacing w:val="-5"/>
        </w:rPr>
        <w:t xml:space="preserve"> </w:t>
      </w:r>
      <w:r>
        <w:t>budget.</w:t>
      </w:r>
      <w:r>
        <w:rPr>
          <w:spacing w:val="-2"/>
        </w:rPr>
        <w:t xml:space="preserve"> </w:t>
      </w:r>
      <w:r>
        <w:t>The</w:t>
      </w:r>
      <w:r>
        <w:rPr>
          <w:spacing w:val="-3"/>
        </w:rPr>
        <w:t xml:space="preserve"> </w:t>
      </w:r>
      <w:r>
        <w:t>other</w:t>
      </w:r>
      <w:r>
        <w:rPr>
          <w:spacing w:val="-1"/>
        </w:rPr>
        <w:t xml:space="preserve"> </w:t>
      </w:r>
      <w:r>
        <w:t>component</w:t>
      </w:r>
      <w:r>
        <w:rPr>
          <w:spacing w:val="-2"/>
        </w:rPr>
        <w:t xml:space="preserve"> </w:t>
      </w:r>
      <w:r>
        <w:t xml:space="preserve">of the one-stop operating budget consists of additional costs, which include applicable career services, and may include shared operating costs and shared services. While each of these components covers different cost categories, an operating budget would be incomplete if any of these cost categories were omitted, as all components are necessary to maintain a fully functioning and successful local one-stop delivery system. It is strongly recommended that the LWDBs, one-stop partners, and CEOs negotiate the </w:t>
      </w:r>
      <w:r>
        <w:t xml:space="preserve">IFA, along with additional costs, when developing the operating budget for the local one-stop delivery system. The overall one-stop operating budget must be included in the MOU. IFAs are a mandatory component of the local MOU, described in WIOA </w:t>
      </w:r>
      <w:r w:rsidR="009148E4">
        <w:t>S</w:t>
      </w:r>
      <w:r>
        <w:t xml:space="preserve">ec. 121(c) and 20 CFR </w:t>
      </w:r>
      <w:r w:rsidR="009148E4">
        <w:t>§§</w:t>
      </w:r>
      <w:r w:rsidR="009148E4">
        <w:t xml:space="preserve"> </w:t>
      </w:r>
      <w:r>
        <w:t xml:space="preserve">678.500 and 678.755, 34 CFR 361.500 and 361.755, and 34 CFR 463.500 and 463.755. </w:t>
      </w:r>
      <w:proofErr w:type="gramStart"/>
      <w:r>
        <w:t>Similar to</w:t>
      </w:r>
      <w:proofErr w:type="gramEnd"/>
      <w:r>
        <w:t xml:space="preserve"> MOUs, the LWDB may negotiate </w:t>
      </w:r>
      <w:proofErr w:type="gramStart"/>
      <w:r>
        <w:t>an umbrella</w:t>
      </w:r>
      <w:proofErr w:type="gramEnd"/>
      <w:r>
        <w:t xml:space="preserve"> IFA or individual IFAs for one or more of its one-stop centers. A local area’s PY 2017 final IFA must be in place no later than January 1, 2018, or by an earlier date specified by the Governor, rather than a part of the MOU that must take place on July 1, 2017. This extension is provided to allow local areas additional time to negotiate and reach consensus on one-stop partner </w:t>
      </w:r>
      <w:r>
        <w:t>infrastructure funding contributions in PY 2017. During the extension period, local areas may use the funding agreement they used for PY 2016, with any such modifications as the partners may agree to, to fund infrastructure costs in the local area. All final IFAs must satisfy</w:t>
      </w:r>
      <w:r>
        <w:rPr>
          <w:spacing w:val="40"/>
        </w:rPr>
        <w:t xml:space="preserve"> </w:t>
      </w:r>
      <w:r>
        <w:t xml:space="preserve">the requirements of sec. 121(h) of WIOA for funding the one-stop delivery system in PY 2017. For PY 2017 and subsequent program years, the IFA must be completed and signed by all required partners and additional partners that are participating by the date specified by the </w:t>
      </w:r>
      <w:r>
        <w:rPr>
          <w:spacing w:val="-2"/>
        </w:rPr>
        <w:t>Governor.</w:t>
      </w:r>
    </w:p>
    <w:p w14:paraId="365A96BB" w14:textId="77777777" w:rsidR="00E41A5B" w:rsidRDefault="00E41A5B">
      <w:pPr>
        <w:pStyle w:val="BodyText"/>
        <w:jc w:val="left"/>
      </w:pPr>
    </w:p>
    <w:p w14:paraId="365A96BC" w14:textId="49618308" w:rsidR="00E41A5B" w:rsidRDefault="00DA7B02">
      <w:pPr>
        <w:pStyle w:val="BodyText"/>
        <w:ind w:left="1299" w:right="1354"/>
      </w:pPr>
      <w:r>
        <w:t xml:space="preserve">Consistent with 20 CFR </w:t>
      </w:r>
      <w:r w:rsidR="009148E4">
        <w:t>§§</w:t>
      </w:r>
      <w:r w:rsidR="009148E4">
        <w:t xml:space="preserve"> </w:t>
      </w:r>
      <w:r>
        <w:t xml:space="preserve">678.755, 34 CFR 361.755, and 34 CFR </w:t>
      </w:r>
      <w:r w:rsidR="009148E4">
        <w:t>§</w:t>
      </w:r>
      <w:r w:rsidR="009148E4">
        <w:t xml:space="preserve"> </w:t>
      </w:r>
      <w:r>
        <w:t>463.755, IFAs must include the following elements:</w:t>
      </w:r>
    </w:p>
    <w:p w14:paraId="365A96BD" w14:textId="77777777" w:rsidR="00E41A5B" w:rsidRDefault="00E41A5B">
      <w:pPr>
        <w:pStyle w:val="BodyText"/>
        <w:jc w:val="left"/>
      </w:pPr>
    </w:p>
    <w:p w14:paraId="365A96BE" w14:textId="77777777" w:rsidR="00E41A5B" w:rsidRDefault="00DA7B02">
      <w:pPr>
        <w:pStyle w:val="ListParagraph"/>
        <w:numPr>
          <w:ilvl w:val="0"/>
          <w:numId w:val="20"/>
        </w:numPr>
        <w:tabs>
          <w:tab w:val="left" w:pos="1929"/>
          <w:tab w:val="left" w:pos="1931"/>
        </w:tabs>
        <w:ind w:right="1359"/>
        <w:rPr>
          <w:sz w:val="24"/>
        </w:rPr>
      </w:pPr>
      <w:r>
        <w:rPr>
          <w:sz w:val="24"/>
        </w:rPr>
        <w:t>The</w:t>
      </w:r>
      <w:r>
        <w:rPr>
          <w:spacing w:val="23"/>
          <w:sz w:val="24"/>
        </w:rPr>
        <w:t xml:space="preserve"> </w:t>
      </w:r>
      <w:proofErr w:type="gramStart"/>
      <w:r>
        <w:rPr>
          <w:sz w:val="24"/>
        </w:rPr>
        <w:t>period</w:t>
      </w:r>
      <w:r>
        <w:rPr>
          <w:spacing w:val="24"/>
          <w:sz w:val="24"/>
        </w:rPr>
        <w:t xml:space="preserve"> </w:t>
      </w:r>
      <w:r>
        <w:rPr>
          <w:sz w:val="24"/>
        </w:rPr>
        <w:t>of</w:t>
      </w:r>
      <w:r>
        <w:rPr>
          <w:spacing w:val="23"/>
          <w:sz w:val="24"/>
        </w:rPr>
        <w:t xml:space="preserve"> </w:t>
      </w:r>
      <w:r>
        <w:rPr>
          <w:sz w:val="24"/>
        </w:rPr>
        <w:t>time</w:t>
      </w:r>
      <w:proofErr w:type="gramEnd"/>
      <w:r>
        <w:rPr>
          <w:spacing w:val="23"/>
          <w:sz w:val="24"/>
        </w:rPr>
        <w:t xml:space="preserve"> </w:t>
      </w:r>
      <w:r>
        <w:rPr>
          <w:sz w:val="24"/>
        </w:rPr>
        <w:t>in</w:t>
      </w:r>
      <w:r>
        <w:rPr>
          <w:spacing w:val="26"/>
          <w:sz w:val="24"/>
        </w:rPr>
        <w:t xml:space="preserve"> </w:t>
      </w:r>
      <w:r>
        <w:rPr>
          <w:sz w:val="24"/>
        </w:rPr>
        <w:t>which</w:t>
      </w:r>
      <w:r>
        <w:rPr>
          <w:spacing w:val="24"/>
          <w:sz w:val="24"/>
        </w:rPr>
        <w:t xml:space="preserve"> </w:t>
      </w:r>
      <w:r>
        <w:rPr>
          <w:sz w:val="24"/>
        </w:rPr>
        <w:t>the</w:t>
      </w:r>
      <w:r>
        <w:rPr>
          <w:spacing w:val="25"/>
          <w:sz w:val="24"/>
        </w:rPr>
        <w:t xml:space="preserve"> </w:t>
      </w:r>
      <w:r>
        <w:rPr>
          <w:sz w:val="24"/>
        </w:rPr>
        <w:t>IFA</w:t>
      </w:r>
      <w:r>
        <w:rPr>
          <w:spacing w:val="23"/>
          <w:sz w:val="24"/>
        </w:rPr>
        <w:t xml:space="preserve"> </w:t>
      </w:r>
      <w:r>
        <w:rPr>
          <w:sz w:val="24"/>
        </w:rPr>
        <w:t>is</w:t>
      </w:r>
      <w:r>
        <w:rPr>
          <w:spacing w:val="24"/>
          <w:sz w:val="24"/>
        </w:rPr>
        <w:t xml:space="preserve"> </w:t>
      </w:r>
      <w:r>
        <w:rPr>
          <w:sz w:val="24"/>
        </w:rPr>
        <w:t>effective</w:t>
      </w:r>
      <w:r>
        <w:rPr>
          <w:spacing w:val="23"/>
          <w:sz w:val="24"/>
        </w:rPr>
        <w:t xml:space="preserve"> </w:t>
      </w:r>
      <w:r>
        <w:rPr>
          <w:sz w:val="24"/>
        </w:rPr>
        <w:t>(which</w:t>
      </w:r>
      <w:r>
        <w:rPr>
          <w:spacing w:val="24"/>
          <w:sz w:val="24"/>
        </w:rPr>
        <w:t xml:space="preserve"> </w:t>
      </w:r>
      <w:r>
        <w:rPr>
          <w:sz w:val="24"/>
        </w:rPr>
        <w:t>may</w:t>
      </w:r>
      <w:r>
        <w:rPr>
          <w:spacing w:val="19"/>
          <w:sz w:val="24"/>
        </w:rPr>
        <w:t xml:space="preserve"> </w:t>
      </w:r>
      <w:r>
        <w:rPr>
          <w:sz w:val="24"/>
        </w:rPr>
        <w:t>be</w:t>
      </w:r>
      <w:r>
        <w:rPr>
          <w:spacing w:val="23"/>
          <w:sz w:val="24"/>
        </w:rPr>
        <w:t xml:space="preserve"> </w:t>
      </w:r>
      <w:r>
        <w:rPr>
          <w:sz w:val="24"/>
        </w:rPr>
        <w:t>a</w:t>
      </w:r>
      <w:r>
        <w:rPr>
          <w:spacing w:val="23"/>
          <w:sz w:val="24"/>
        </w:rPr>
        <w:t xml:space="preserve"> </w:t>
      </w:r>
      <w:r>
        <w:rPr>
          <w:sz w:val="24"/>
        </w:rPr>
        <w:t>different</w:t>
      </w:r>
      <w:r>
        <w:rPr>
          <w:spacing w:val="24"/>
          <w:sz w:val="24"/>
        </w:rPr>
        <w:t xml:space="preserve"> </w:t>
      </w:r>
      <w:proofErr w:type="gramStart"/>
      <w:r>
        <w:rPr>
          <w:sz w:val="24"/>
        </w:rPr>
        <w:t>time</w:t>
      </w:r>
      <w:r>
        <w:rPr>
          <w:spacing w:val="23"/>
          <w:sz w:val="24"/>
        </w:rPr>
        <w:t xml:space="preserve"> </w:t>
      </w:r>
      <w:r>
        <w:rPr>
          <w:sz w:val="24"/>
        </w:rPr>
        <w:t>period</w:t>
      </w:r>
      <w:proofErr w:type="gramEnd"/>
      <w:r>
        <w:rPr>
          <w:sz w:val="24"/>
        </w:rPr>
        <w:t xml:space="preserve"> than the duration of the MOU);</w:t>
      </w:r>
    </w:p>
    <w:p w14:paraId="365A96BF" w14:textId="77777777" w:rsidR="00E41A5B" w:rsidRDefault="00DA7B02">
      <w:pPr>
        <w:pStyle w:val="ListParagraph"/>
        <w:numPr>
          <w:ilvl w:val="0"/>
          <w:numId w:val="20"/>
        </w:numPr>
        <w:tabs>
          <w:tab w:val="left" w:pos="1931"/>
          <w:tab w:val="left" w:pos="1958"/>
        </w:tabs>
        <w:ind w:right="1355"/>
        <w:rPr>
          <w:sz w:val="24"/>
        </w:rPr>
      </w:pPr>
      <w:r>
        <w:rPr>
          <w:sz w:val="24"/>
        </w:rPr>
        <w:t>Identification</w:t>
      </w:r>
      <w:r>
        <w:rPr>
          <w:spacing w:val="40"/>
          <w:sz w:val="24"/>
        </w:rPr>
        <w:t xml:space="preserve"> </w:t>
      </w:r>
      <w:r>
        <w:rPr>
          <w:sz w:val="24"/>
        </w:rPr>
        <w:t>of</w:t>
      </w:r>
      <w:r>
        <w:rPr>
          <w:spacing w:val="35"/>
          <w:sz w:val="24"/>
        </w:rPr>
        <w:t xml:space="preserve"> </w:t>
      </w:r>
      <w:r>
        <w:rPr>
          <w:sz w:val="24"/>
        </w:rPr>
        <w:t>the</w:t>
      </w:r>
      <w:r>
        <w:rPr>
          <w:spacing w:val="37"/>
          <w:sz w:val="24"/>
        </w:rPr>
        <w:t xml:space="preserve"> </w:t>
      </w:r>
      <w:r>
        <w:rPr>
          <w:sz w:val="24"/>
        </w:rPr>
        <w:t>infrastructure</w:t>
      </w:r>
      <w:r>
        <w:rPr>
          <w:spacing w:val="37"/>
          <w:sz w:val="24"/>
        </w:rPr>
        <w:t xml:space="preserve"> </w:t>
      </w:r>
      <w:r>
        <w:rPr>
          <w:sz w:val="24"/>
        </w:rPr>
        <w:t>costs</w:t>
      </w:r>
      <w:r>
        <w:rPr>
          <w:spacing w:val="36"/>
          <w:sz w:val="24"/>
        </w:rPr>
        <w:t xml:space="preserve"> </w:t>
      </w:r>
      <w:r>
        <w:rPr>
          <w:sz w:val="24"/>
        </w:rPr>
        <w:t>budget,</w:t>
      </w:r>
      <w:r>
        <w:rPr>
          <w:spacing w:val="36"/>
          <w:sz w:val="24"/>
        </w:rPr>
        <w:t xml:space="preserve"> </w:t>
      </w:r>
      <w:r>
        <w:rPr>
          <w:sz w:val="24"/>
        </w:rPr>
        <w:t>which</w:t>
      </w:r>
      <w:r>
        <w:rPr>
          <w:spacing w:val="36"/>
          <w:sz w:val="24"/>
        </w:rPr>
        <w:t xml:space="preserve"> </w:t>
      </w:r>
      <w:r>
        <w:rPr>
          <w:sz w:val="24"/>
        </w:rPr>
        <w:t>is</w:t>
      </w:r>
      <w:r>
        <w:rPr>
          <w:spacing w:val="39"/>
          <w:sz w:val="24"/>
        </w:rPr>
        <w:t xml:space="preserve"> </w:t>
      </w:r>
      <w:r>
        <w:rPr>
          <w:sz w:val="24"/>
        </w:rPr>
        <w:t>a</w:t>
      </w:r>
      <w:r>
        <w:rPr>
          <w:spacing w:val="35"/>
          <w:sz w:val="24"/>
        </w:rPr>
        <w:t xml:space="preserve"> </w:t>
      </w:r>
      <w:r>
        <w:rPr>
          <w:sz w:val="24"/>
        </w:rPr>
        <w:t>component</w:t>
      </w:r>
      <w:r>
        <w:rPr>
          <w:spacing w:val="36"/>
          <w:sz w:val="24"/>
        </w:rPr>
        <w:t xml:space="preserve"> </w:t>
      </w:r>
      <w:r>
        <w:rPr>
          <w:sz w:val="24"/>
        </w:rPr>
        <w:t>of</w:t>
      </w:r>
      <w:r>
        <w:rPr>
          <w:spacing w:val="35"/>
          <w:sz w:val="24"/>
        </w:rPr>
        <w:t xml:space="preserve"> </w:t>
      </w:r>
      <w:r>
        <w:rPr>
          <w:sz w:val="24"/>
        </w:rPr>
        <w:t>the</w:t>
      </w:r>
      <w:r>
        <w:rPr>
          <w:spacing w:val="35"/>
          <w:sz w:val="24"/>
        </w:rPr>
        <w:t xml:space="preserve"> </w:t>
      </w:r>
      <w:r>
        <w:rPr>
          <w:sz w:val="24"/>
        </w:rPr>
        <w:t>one-stop operating budget;</w:t>
      </w:r>
    </w:p>
    <w:p w14:paraId="365A96C0" w14:textId="77777777" w:rsidR="00E41A5B" w:rsidRDefault="00DA7B02">
      <w:pPr>
        <w:pStyle w:val="ListParagraph"/>
        <w:numPr>
          <w:ilvl w:val="0"/>
          <w:numId w:val="20"/>
        </w:numPr>
        <w:tabs>
          <w:tab w:val="left" w:pos="1905"/>
        </w:tabs>
        <w:spacing w:before="1"/>
        <w:ind w:left="1905" w:hanging="246"/>
        <w:rPr>
          <w:sz w:val="24"/>
        </w:rPr>
      </w:pPr>
      <w:r>
        <w:rPr>
          <w:sz w:val="24"/>
        </w:rPr>
        <w:t>Identification</w:t>
      </w:r>
      <w:r>
        <w:rPr>
          <w:spacing w:val="-2"/>
          <w:sz w:val="24"/>
        </w:rPr>
        <w:t xml:space="preserve"> </w:t>
      </w:r>
      <w:r>
        <w:rPr>
          <w:sz w:val="24"/>
        </w:rPr>
        <w:t>of</w:t>
      </w:r>
      <w:r>
        <w:rPr>
          <w:spacing w:val="-2"/>
          <w:sz w:val="24"/>
        </w:rPr>
        <w:t xml:space="preserve"> </w:t>
      </w:r>
      <w:r>
        <w:rPr>
          <w:sz w:val="24"/>
        </w:rPr>
        <w:t>all</w:t>
      </w:r>
      <w:r>
        <w:rPr>
          <w:spacing w:val="-2"/>
          <w:sz w:val="24"/>
        </w:rPr>
        <w:t xml:space="preserve"> </w:t>
      </w:r>
      <w:r>
        <w:rPr>
          <w:sz w:val="24"/>
        </w:rPr>
        <w:t>one-stop</w:t>
      </w:r>
      <w:r>
        <w:rPr>
          <w:spacing w:val="-1"/>
          <w:sz w:val="24"/>
        </w:rPr>
        <w:t xml:space="preserve"> </w:t>
      </w:r>
      <w:r>
        <w:rPr>
          <w:sz w:val="24"/>
        </w:rPr>
        <w:t>partners,</w:t>
      </w:r>
      <w:r>
        <w:rPr>
          <w:spacing w:val="-2"/>
          <w:sz w:val="24"/>
        </w:rPr>
        <w:t xml:space="preserve"> </w:t>
      </w:r>
      <w:r>
        <w:rPr>
          <w:sz w:val="24"/>
        </w:rPr>
        <w:t>CEO(s), and</w:t>
      </w:r>
      <w:r>
        <w:rPr>
          <w:spacing w:val="-1"/>
          <w:sz w:val="24"/>
        </w:rPr>
        <w:t xml:space="preserve"> </w:t>
      </w:r>
      <w:r>
        <w:rPr>
          <w:sz w:val="24"/>
        </w:rPr>
        <w:t>the</w:t>
      </w:r>
      <w:r>
        <w:rPr>
          <w:spacing w:val="-1"/>
          <w:sz w:val="24"/>
        </w:rPr>
        <w:t xml:space="preserve"> </w:t>
      </w:r>
      <w:r>
        <w:rPr>
          <w:sz w:val="24"/>
        </w:rPr>
        <w:t>LWDB</w:t>
      </w:r>
      <w:r>
        <w:rPr>
          <w:spacing w:val="-3"/>
          <w:sz w:val="24"/>
        </w:rPr>
        <w:t xml:space="preserve"> </w:t>
      </w:r>
      <w:r>
        <w:rPr>
          <w:sz w:val="24"/>
        </w:rPr>
        <w:t>participating</w:t>
      </w:r>
      <w:r>
        <w:rPr>
          <w:spacing w:val="-4"/>
          <w:sz w:val="24"/>
        </w:rPr>
        <w:t xml:space="preserve"> </w:t>
      </w:r>
      <w:r>
        <w:rPr>
          <w:sz w:val="24"/>
        </w:rPr>
        <w:t>in</w:t>
      </w:r>
      <w:r>
        <w:rPr>
          <w:spacing w:val="-2"/>
          <w:sz w:val="24"/>
        </w:rPr>
        <w:t xml:space="preserve"> </w:t>
      </w:r>
      <w:r>
        <w:rPr>
          <w:sz w:val="24"/>
        </w:rPr>
        <w:t xml:space="preserve">the </w:t>
      </w:r>
      <w:r>
        <w:rPr>
          <w:spacing w:val="-4"/>
          <w:sz w:val="24"/>
        </w:rPr>
        <w:t>IFA;</w:t>
      </w:r>
    </w:p>
    <w:p w14:paraId="365A96C1" w14:textId="77777777" w:rsidR="00E41A5B" w:rsidRDefault="00DA7B02">
      <w:pPr>
        <w:pStyle w:val="ListParagraph"/>
        <w:numPr>
          <w:ilvl w:val="0"/>
          <w:numId w:val="20"/>
        </w:numPr>
        <w:tabs>
          <w:tab w:val="left" w:pos="1931"/>
        </w:tabs>
        <w:ind w:right="1357"/>
        <w:rPr>
          <w:sz w:val="24"/>
        </w:rPr>
      </w:pPr>
      <w:r>
        <w:rPr>
          <w:sz w:val="24"/>
        </w:rPr>
        <w:t>A description of the periodic modification and review process to ensure equitable benefit among one-stop partners;</w:t>
      </w:r>
    </w:p>
    <w:p w14:paraId="365A96C2" w14:textId="77777777" w:rsidR="00E41A5B" w:rsidRDefault="00DA7B02">
      <w:pPr>
        <w:pStyle w:val="ListParagraph"/>
        <w:numPr>
          <w:ilvl w:val="0"/>
          <w:numId w:val="20"/>
        </w:numPr>
        <w:tabs>
          <w:tab w:val="left" w:pos="1931"/>
          <w:tab w:val="left" w:pos="1977"/>
        </w:tabs>
        <w:ind w:right="1359"/>
        <w:rPr>
          <w:sz w:val="24"/>
        </w:rPr>
      </w:pPr>
      <w:r>
        <w:rPr>
          <w:sz w:val="24"/>
        </w:rPr>
        <w:t>Information on the steps the LWDB, CEO(s), and one-stop partners used to reach consensus or the assurance that the local area followed the SFM process; and</w:t>
      </w:r>
    </w:p>
    <w:p w14:paraId="365A96C3" w14:textId="77777777" w:rsidR="00E41A5B" w:rsidRDefault="00DA7B02">
      <w:pPr>
        <w:pStyle w:val="ListParagraph"/>
        <w:numPr>
          <w:ilvl w:val="0"/>
          <w:numId w:val="20"/>
        </w:numPr>
        <w:tabs>
          <w:tab w:val="left" w:pos="1931"/>
          <w:tab w:val="left" w:pos="1936"/>
        </w:tabs>
        <w:ind w:right="1355"/>
        <w:rPr>
          <w:sz w:val="24"/>
        </w:rPr>
      </w:pPr>
      <w:r>
        <w:rPr>
          <w:sz w:val="24"/>
        </w:rPr>
        <w:t>A</w:t>
      </w:r>
      <w:r>
        <w:rPr>
          <w:sz w:val="24"/>
        </w:rPr>
        <w:t xml:space="preserve"> description of the process to be used among partners to resolve issues related to infrastructure funding during the MOU duration period when consensus cannot be</w:t>
      </w:r>
      <w:r>
        <w:rPr>
          <w:spacing w:val="40"/>
          <w:sz w:val="24"/>
        </w:rPr>
        <w:t xml:space="preserve"> </w:t>
      </w:r>
      <w:r>
        <w:rPr>
          <w:spacing w:val="-2"/>
          <w:sz w:val="24"/>
        </w:rPr>
        <w:t>reached.</w:t>
      </w:r>
    </w:p>
    <w:p w14:paraId="365A96C4" w14:textId="77777777" w:rsidR="00E41A5B" w:rsidRDefault="00E41A5B">
      <w:pPr>
        <w:jc w:val="both"/>
        <w:rPr>
          <w:sz w:val="24"/>
        </w:rPr>
        <w:sectPr w:rsidR="00E41A5B">
          <w:pgSz w:w="12240" w:h="15840"/>
          <w:pgMar w:top="1360" w:right="80" w:bottom="1540" w:left="140" w:header="0" w:footer="1345" w:gutter="0"/>
          <w:cols w:space="720"/>
        </w:sectPr>
      </w:pPr>
    </w:p>
    <w:p w14:paraId="365A96C5" w14:textId="77777777" w:rsidR="00E41A5B" w:rsidRDefault="00DA7B02">
      <w:pPr>
        <w:pStyle w:val="BodyText"/>
        <w:spacing w:before="72"/>
        <w:ind w:left="1299" w:right="1355"/>
      </w:pPr>
      <w:r>
        <w:lastRenderedPageBreak/>
        <w:t xml:space="preserve">It is essential that the IFA include the signatures of individuals with authority to bind the signatories to the IFA, including all one-stop partners, CEO(s), and LWDB participating in the </w:t>
      </w:r>
      <w:r>
        <w:rPr>
          <w:spacing w:val="-4"/>
        </w:rPr>
        <w:t>IFA.</w:t>
      </w:r>
    </w:p>
    <w:p w14:paraId="365A96C6" w14:textId="77777777" w:rsidR="00E41A5B" w:rsidRDefault="00E41A5B">
      <w:pPr>
        <w:pStyle w:val="BodyText"/>
        <w:jc w:val="left"/>
      </w:pPr>
    </w:p>
    <w:p w14:paraId="365A96C7" w14:textId="77777777" w:rsidR="00E41A5B" w:rsidRDefault="00DA7B02">
      <w:pPr>
        <w:pStyle w:val="BodyText"/>
        <w:ind w:left="1299" w:right="1358"/>
      </w:pPr>
      <w:r>
        <w:t>Items (d) through (f) above are extremely important for two reasons. First, they are designed to ensure</w:t>
      </w:r>
      <w:r>
        <w:rPr>
          <w:spacing w:val="-2"/>
        </w:rPr>
        <w:t xml:space="preserve"> </w:t>
      </w:r>
      <w:r>
        <w:t>that</w:t>
      </w:r>
      <w:r>
        <w:rPr>
          <w:spacing w:val="-1"/>
        </w:rPr>
        <w:t xml:space="preserve"> </w:t>
      </w:r>
      <w:r>
        <w:t>partners</w:t>
      </w:r>
      <w:r>
        <w:rPr>
          <w:spacing w:val="-1"/>
        </w:rPr>
        <w:t xml:space="preserve"> </w:t>
      </w:r>
      <w:r>
        <w:t>negotiate</w:t>
      </w:r>
      <w:r>
        <w:rPr>
          <w:spacing w:val="-2"/>
        </w:rPr>
        <w:t xml:space="preserve"> </w:t>
      </w:r>
      <w:r>
        <w:t>on</w:t>
      </w:r>
      <w:r>
        <w:rPr>
          <w:spacing w:val="-1"/>
        </w:rPr>
        <w:t xml:space="preserve"> </w:t>
      </w:r>
      <w:r>
        <w:t>a</w:t>
      </w:r>
      <w:r>
        <w:rPr>
          <w:spacing w:val="-2"/>
        </w:rPr>
        <w:t xml:space="preserve"> </w:t>
      </w:r>
      <w:r>
        <w:t>level</w:t>
      </w:r>
      <w:r>
        <w:rPr>
          <w:spacing w:val="-1"/>
        </w:rPr>
        <w:t xml:space="preserve"> </w:t>
      </w:r>
      <w:r>
        <w:t>playing</w:t>
      </w:r>
      <w:r>
        <w:rPr>
          <w:spacing w:val="-3"/>
        </w:rPr>
        <w:t xml:space="preserve"> </w:t>
      </w:r>
      <w:r>
        <w:t>field</w:t>
      </w:r>
      <w:r>
        <w:rPr>
          <w:spacing w:val="-1"/>
        </w:rPr>
        <w:t xml:space="preserve"> </w:t>
      </w:r>
      <w:r>
        <w:t>regarding</w:t>
      </w:r>
      <w:r>
        <w:rPr>
          <w:spacing w:val="-3"/>
        </w:rPr>
        <w:t xml:space="preserve"> </w:t>
      </w:r>
      <w:r>
        <w:t>the</w:t>
      </w:r>
      <w:r>
        <w:rPr>
          <w:spacing w:val="-2"/>
        </w:rPr>
        <w:t xml:space="preserve"> </w:t>
      </w:r>
      <w:r>
        <w:t>infrastructure</w:t>
      </w:r>
      <w:r>
        <w:rPr>
          <w:spacing w:val="-2"/>
        </w:rPr>
        <w:t xml:space="preserve"> </w:t>
      </w:r>
      <w:r>
        <w:t>funding</w:t>
      </w:r>
      <w:r>
        <w:rPr>
          <w:spacing w:val="-3"/>
        </w:rPr>
        <w:t xml:space="preserve"> </w:t>
      </w:r>
      <w:r>
        <w:t>of</w:t>
      </w:r>
      <w:r>
        <w:rPr>
          <w:spacing w:val="-2"/>
        </w:rPr>
        <w:t xml:space="preserve"> </w:t>
      </w:r>
      <w:r>
        <w:t>their one-stop centers. Second, they are designed to ensure that partners have established a process to attempt to resolve differences prior to triggering the SFM, as further described below.</w:t>
      </w:r>
    </w:p>
    <w:p w14:paraId="365A96C8" w14:textId="77777777" w:rsidR="00E41A5B" w:rsidRDefault="00E41A5B">
      <w:pPr>
        <w:pStyle w:val="BodyText"/>
        <w:jc w:val="left"/>
      </w:pPr>
    </w:p>
    <w:p w14:paraId="365A96C9" w14:textId="77777777" w:rsidR="00E41A5B" w:rsidRDefault="00DA7B02">
      <w:pPr>
        <w:pStyle w:val="BodyText"/>
        <w:ind w:left="1299"/>
      </w:pPr>
      <w:r>
        <w:t>The</w:t>
      </w:r>
      <w:r>
        <w:rPr>
          <w:spacing w:val="-3"/>
        </w:rPr>
        <w:t xml:space="preserve"> </w:t>
      </w:r>
      <w:r>
        <w:t>following</w:t>
      </w:r>
      <w:r>
        <w:rPr>
          <w:spacing w:val="-1"/>
        </w:rPr>
        <w:t xml:space="preserve"> </w:t>
      </w:r>
      <w:r>
        <w:t>are</w:t>
      </w:r>
      <w:r>
        <w:rPr>
          <w:spacing w:val="-2"/>
        </w:rPr>
        <w:t xml:space="preserve"> </w:t>
      </w:r>
      <w:r>
        <w:t>the general</w:t>
      </w:r>
      <w:r>
        <w:rPr>
          <w:spacing w:val="-2"/>
        </w:rPr>
        <w:t xml:space="preserve"> </w:t>
      </w:r>
      <w:r>
        <w:t>steps</w:t>
      </w:r>
      <w:r>
        <w:rPr>
          <w:spacing w:val="-1"/>
        </w:rPr>
        <w:t xml:space="preserve"> </w:t>
      </w:r>
      <w:r>
        <w:t>in</w:t>
      </w:r>
      <w:r>
        <w:rPr>
          <w:spacing w:val="-1"/>
        </w:rPr>
        <w:t xml:space="preserve"> </w:t>
      </w:r>
      <w:r>
        <w:t>the</w:t>
      </w:r>
      <w:r>
        <w:rPr>
          <w:spacing w:val="-2"/>
        </w:rPr>
        <w:t xml:space="preserve"> </w:t>
      </w:r>
      <w:r>
        <w:t>allocation</w:t>
      </w:r>
      <w:r>
        <w:rPr>
          <w:spacing w:val="-2"/>
        </w:rPr>
        <w:t xml:space="preserve"> </w:t>
      </w:r>
      <w:r>
        <w:t>of</w:t>
      </w:r>
      <w:r>
        <w:rPr>
          <w:spacing w:val="-2"/>
        </w:rPr>
        <w:t xml:space="preserve"> </w:t>
      </w:r>
      <w:r>
        <w:t>infrastructure</w:t>
      </w:r>
      <w:r>
        <w:rPr>
          <w:spacing w:val="-2"/>
        </w:rPr>
        <w:t xml:space="preserve"> </w:t>
      </w:r>
      <w:r>
        <w:t>costs</w:t>
      </w:r>
      <w:r>
        <w:rPr>
          <w:spacing w:val="1"/>
        </w:rPr>
        <w:t xml:space="preserve"> </w:t>
      </w:r>
      <w:r>
        <w:rPr>
          <w:spacing w:val="-2"/>
        </w:rPr>
        <w:t>process:</w:t>
      </w:r>
    </w:p>
    <w:p w14:paraId="365A96CA" w14:textId="77777777" w:rsidR="00E41A5B" w:rsidRDefault="00E41A5B">
      <w:pPr>
        <w:pStyle w:val="BodyText"/>
        <w:jc w:val="left"/>
      </w:pPr>
    </w:p>
    <w:p w14:paraId="365A96CB" w14:textId="77777777" w:rsidR="00E41A5B" w:rsidRDefault="00DA7B02">
      <w:pPr>
        <w:pStyle w:val="ListParagraph"/>
        <w:numPr>
          <w:ilvl w:val="0"/>
          <w:numId w:val="19"/>
        </w:numPr>
        <w:tabs>
          <w:tab w:val="left" w:pos="1901"/>
        </w:tabs>
        <w:ind w:left="1901" w:hanging="242"/>
        <w:rPr>
          <w:sz w:val="24"/>
        </w:rPr>
      </w:pPr>
      <w:r>
        <w:rPr>
          <w:sz w:val="24"/>
        </w:rPr>
        <w:t>Identify</w:t>
      </w:r>
      <w:r>
        <w:rPr>
          <w:spacing w:val="-8"/>
          <w:sz w:val="24"/>
        </w:rPr>
        <w:t xml:space="preserve"> </w:t>
      </w:r>
      <w:r>
        <w:rPr>
          <w:sz w:val="24"/>
        </w:rPr>
        <w:t>one-stop</w:t>
      </w:r>
      <w:r>
        <w:rPr>
          <w:spacing w:val="-1"/>
          <w:sz w:val="24"/>
        </w:rPr>
        <w:t xml:space="preserve"> </w:t>
      </w:r>
      <w:r>
        <w:rPr>
          <w:sz w:val="24"/>
        </w:rPr>
        <w:t>operating</w:t>
      </w:r>
      <w:r>
        <w:rPr>
          <w:spacing w:val="-4"/>
          <w:sz w:val="24"/>
        </w:rPr>
        <w:t xml:space="preserve"> </w:t>
      </w:r>
      <w:r>
        <w:rPr>
          <w:sz w:val="24"/>
        </w:rPr>
        <w:t>costs,</w:t>
      </w:r>
      <w:r>
        <w:rPr>
          <w:spacing w:val="-1"/>
          <w:sz w:val="24"/>
        </w:rPr>
        <w:t xml:space="preserve"> </w:t>
      </w:r>
      <w:r>
        <w:rPr>
          <w:sz w:val="24"/>
        </w:rPr>
        <w:t>including</w:t>
      </w:r>
      <w:r>
        <w:rPr>
          <w:spacing w:val="-4"/>
          <w:sz w:val="24"/>
        </w:rPr>
        <w:t xml:space="preserve"> </w:t>
      </w:r>
      <w:r>
        <w:rPr>
          <w:sz w:val="24"/>
        </w:rPr>
        <w:t>infrastructure costs</w:t>
      </w:r>
      <w:r>
        <w:rPr>
          <w:spacing w:val="-1"/>
          <w:sz w:val="24"/>
        </w:rPr>
        <w:t xml:space="preserve"> </w:t>
      </w:r>
      <w:r>
        <w:rPr>
          <w:sz w:val="24"/>
        </w:rPr>
        <w:t>and</w:t>
      </w:r>
      <w:r>
        <w:rPr>
          <w:spacing w:val="-1"/>
          <w:sz w:val="24"/>
        </w:rPr>
        <w:t xml:space="preserve"> </w:t>
      </w:r>
      <w:r>
        <w:rPr>
          <w:sz w:val="24"/>
        </w:rPr>
        <w:t xml:space="preserve">additional </w:t>
      </w:r>
      <w:r>
        <w:rPr>
          <w:spacing w:val="-2"/>
          <w:sz w:val="24"/>
        </w:rPr>
        <w:t>costs.</w:t>
      </w:r>
    </w:p>
    <w:p w14:paraId="365A96CC" w14:textId="77777777" w:rsidR="00E41A5B" w:rsidRDefault="00E41A5B">
      <w:pPr>
        <w:pStyle w:val="BodyText"/>
        <w:jc w:val="left"/>
      </w:pPr>
    </w:p>
    <w:p w14:paraId="365A96CD" w14:textId="77777777" w:rsidR="00E41A5B" w:rsidRDefault="00DA7B02">
      <w:pPr>
        <w:pStyle w:val="ListParagraph"/>
        <w:numPr>
          <w:ilvl w:val="0"/>
          <w:numId w:val="19"/>
        </w:numPr>
        <w:tabs>
          <w:tab w:val="left" w:pos="1931"/>
          <w:tab w:val="left" w:pos="1937"/>
        </w:tabs>
        <w:ind w:left="1931" w:right="1358" w:hanging="272"/>
        <w:rPr>
          <w:sz w:val="24"/>
        </w:rPr>
      </w:pPr>
      <w:r>
        <w:rPr>
          <w:sz w:val="24"/>
        </w:rPr>
        <w:t>Develop</w:t>
      </w:r>
      <w:r>
        <w:rPr>
          <w:spacing w:val="39"/>
          <w:sz w:val="24"/>
        </w:rPr>
        <w:t xml:space="preserve"> </w:t>
      </w:r>
      <w:r>
        <w:rPr>
          <w:sz w:val="24"/>
        </w:rPr>
        <w:t>the</w:t>
      </w:r>
      <w:r>
        <w:rPr>
          <w:spacing w:val="33"/>
          <w:sz w:val="24"/>
        </w:rPr>
        <w:t xml:space="preserve"> </w:t>
      </w:r>
      <w:r>
        <w:rPr>
          <w:sz w:val="24"/>
        </w:rPr>
        <w:t>one-stop</w:t>
      </w:r>
      <w:r>
        <w:rPr>
          <w:spacing w:val="34"/>
          <w:sz w:val="24"/>
        </w:rPr>
        <w:t xml:space="preserve"> </w:t>
      </w:r>
      <w:r>
        <w:rPr>
          <w:sz w:val="24"/>
        </w:rPr>
        <w:t>operating</w:t>
      </w:r>
      <w:r>
        <w:rPr>
          <w:spacing w:val="32"/>
          <w:sz w:val="24"/>
        </w:rPr>
        <w:t xml:space="preserve"> </w:t>
      </w:r>
      <w:r>
        <w:rPr>
          <w:sz w:val="24"/>
        </w:rPr>
        <w:t>budget</w:t>
      </w:r>
      <w:r>
        <w:rPr>
          <w:spacing w:val="34"/>
          <w:sz w:val="24"/>
        </w:rPr>
        <w:t xml:space="preserve"> </w:t>
      </w:r>
      <w:r>
        <w:rPr>
          <w:sz w:val="24"/>
        </w:rPr>
        <w:t>that</w:t>
      </w:r>
      <w:r>
        <w:rPr>
          <w:spacing w:val="34"/>
          <w:sz w:val="24"/>
        </w:rPr>
        <w:t xml:space="preserve"> </w:t>
      </w:r>
      <w:r>
        <w:rPr>
          <w:sz w:val="24"/>
        </w:rPr>
        <w:t>includes</w:t>
      </w:r>
      <w:r>
        <w:rPr>
          <w:spacing w:val="34"/>
          <w:sz w:val="24"/>
        </w:rPr>
        <w:t xml:space="preserve"> </w:t>
      </w:r>
      <w:r>
        <w:rPr>
          <w:sz w:val="24"/>
        </w:rPr>
        <w:t>an</w:t>
      </w:r>
      <w:r>
        <w:rPr>
          <w:spacing w:val="34"/>
          <w:sz w:val="24"/>
        </w:rPr>
        <w:t xml:space="preserve"> </w:t>
      </w:r>
      <w:r>
        <w:rPr>
          <w:sz w:val="24"/>
        </w:rPr>
        <w:t>infrastructure</w:t>
      </w:r>
      <w:r>
        <w:rPr>
          <w:spacing w:val="35"/>
          <w:sz w:val="24"/>
        </w:rPr>
        <w:t xml:space="preserve"> </w:t>
      </w:r>
      <w:r>
        <w:rPr>
          <w:sz w:val="24"/>
        </w:rPr>
        <w:t>costs</w:t>
      </w:r>
      <w:r>
        <w:rPr>
          <w:spacing w:val="34"/>
          <w:sz w:val="24"/>
        </w:rPr>
        <w:t xml:space="preserve"> </w:t>
      </w:r>
      <w:r>
        <w:rPr>
          <w:sz w:val="24"/>
        </w:rPr>
        <w:t>budget</w:t>
      </w:r>
      <w:r>
        <w:rPr>
          <w:spacing w:val="34"/>
          <w:sz w:val="24"/>
        </w:rPr>
        <w:t xml:space="preserve"> </w:t>
      </w:r>
      <w:r>
        <w:rPr>
          <w:sz w:val="24"/>
        </w:rPr>
        <w:t>and additional costs budget.</w:t>
      </w:r>
    </w:p>
    <w:p w14:paraId="365A96CE" w14:textId="77777777" w:rsidR="00E41A5B" w:rsidRDefault="00E41A5B">
      <w:pPr>
        <w:pStyle w:val="BodyText"/>
        <w:jc w:val="left"/>
      </w:pPr>
    </w:p>
    <w:p w14:paraId="365A96CF" w14:textId="77777777" w:rsidR="00E41A5B" w:rsidRDefault="00DA7B02">
      <w:pPr>
        <w:pStyle w:val="ListParagraph"/>
        <w:numPr>
          <w:ilvl w:val="0"/>
          <w:numId w:val="19"/>
        </w:numPr>
        <w:tabs>
          <w:tab w:val="left" w:pos="1931"/>
        </w:tabs>
        <w:ind w:left="1931" w:right="1359" w:hanging="272"/>
        <w:rPr>
          <w:sz w:val="24"/>
        </w:rPr>
      </w:pPr>
      <w:r>
        <w:rPr>
          <w:sz w:val="24"/>
        </w:rPr>
        <w:t>Develop</w:t>
      </w:r>
      <w:r>
        <w:rPr>
          <w:spacing w:val="30"/>
          <w:sz w:val="24"/>
        </w:rPr>
        <w:t xml:space="preserve"> </w:t>
      </w:r>
      <w:r>
        <w:rPr>
          <w:sz w:val="24"/>
        </w:rPr>
        <w:t>the</w:t>
      </w:r>
      <w:r>
        <w:rPr>
          <w:spacing w:val="29"/>
          <w:sz w:val="24"/>
        </w:rPr>
        <w:t xml:space="preserve"> </w:t>
      </w:r>
      <w:r>
        <w:rPr>
          <w:sz w:val="24"/>
        </w:rPr>
        <w:t>cost</w:t>
      </w:r>
      <w:r>
        <w:rPr>
          <w:spacing w:val="31"/>
          <w:sz w:val="24"/>
        </w:rPr>
        <w:t xml:space="preserve"> </w:t>
      </w:r>
      <w:r>
        <w:rPr>
          <w:sz w:val="24"/>
        </w:rPr>
        <w:t>allocation</w:t>
      </w:r>
      <w:r>
        <w:rPr>
          <w:spacing w:val="30"/>
          <w:sz w:val="24"/>
        </w:rPr>
        <w:t xml:space="preserve"> </w:t>
      </w:r>
      <w:r>
        <w:rPr>
          <w:sz w:val="24"/>
        </w:rPr>
        <w:t>methodology,</w:t>
      </w:r>
      <w:r>
        <w:rPr>
          <w:spacing w:val="30"/>
          <w:sz w:val="24"/>
        </w:rPr>
        <w:t xml:space="preserve"> </w:t>
      </w:r>
      <w:r>
        <w:rPr>
          <w:sz w:val="24"/>
        </w:rPr>
        <w:t>including</w:t>
      </w:r>
      <w:r>
        <w:rPr>
          <w:spacing w:val="28"/>
          <w:sz w:val="24"/>
        </w:rPr>
        <w:t xml:space="preserve"> </w:t>
      </w:r>
      <w:r>
        <w:rPr>
          <w:sz w:val="24"/>
        </w:rPr>
        <w:t>the</w:t>
      </w:r>
      <w:r>
        <w:rPr>
          <w:spacing w:val="29"/>
          <w:sz w:val="24"/>
        </w:rPr>
        <w:t xml:space="preserve"> </w:t>
      </w:r>
      <w:r>
        <w:rPr>
          <w:sz w:val="24"/>
        </w:rPr>
        <w:t>identification</w:t>
      </w:r>
      <w:r>
        <w:rPr>
          <w:spacing w:val="33"/>
          <w:sz w:val="24"/>
        </w:rPr>
        <w:t xml:space="preserve"> </w:t>
      </w:r>
      <w:r>
        <w:rPr>
          <w:sz w:val="24"/>
        </w:rPr>
        <w:t>of</w:t>
      </w:r>
      <w:r>
        <w:rPr>
          <w:spacing w:val="29"/>
          <w:sz w:val="24"/>
        </w:rPr>
        <w:t xml:space="preserve"> </w:t>
      </w:r>
      <w:r>
        <w:rPr>
          <w:sz w:val="24"/>
        </w:rPr>
        <w:t>cost</w:t>
      </w:r>
      <w:r>
        <w:rPr>
          <w:spacing w:val="31"/>
          <w:sz w:val="24"/>
        </w:rPr>
        <w:t xml:space="preserve"> </w:t>
      </w:r>
      <w:r>
        <w:rPr>
          <w:sz w:val="24"/>
        </w:rPr>
        <w:t>pools</w:t>
      </w:r>
      <w:r>
        <w:rPr>
          <w:spacing w:val="30"/>
          <w:sz w:val="24"/>
        </w:rPr>
        <w:t xml:space="preserve"> </w:t>
      </w:r>
      <w:r>
        <w:rPr>
          <w:sz w:val="24"/>
        </w:rPr>
        <w:t>and allocation bases.</w:t>
      </w:r>
    </w:p>
    <w:p w14:paraId="365A96D0" w14:textId="77777777" w:rsidR="00E41A5B" w:rsidRDefault="00E41A5B">
      <w:pPr>
        <w:pStyle w:val="BodyText"/>
        <w:jc w:val="left"/>
      </w:pPr>
    </w:p>
    <w:p w14:paraId="365A96D1" w14:textId="77777777" w:rsidR="00E41A5B" w:rsidRDefault="00DA7B02">
      <w:pPr>
        <w:pStyle w:val="ListParagraph"/>
        <w:numPr>
          <w:ilvl w:val="0"/>
          <w:numId w:val="19"/>
        </w:numPr>
        <w:tabs>
          <w:tab w:val="left" w:pos="1899"/>
        </w:tabs>
        <w:ind w:left="1899" w:hanging="240"/>
        <w:rPr>
          <w:sz w:val="24"/>
        </w:rPr>
      </w:pPr>
      <w:r>
        <w:rPr>
          <w:sz w:val="24"/>
        </w:rPr>
        <w:t>Determine</w:t>
      </w:r>
      <w:r>
        <w:rPr>
          <w:spacing w:val="-4"/>
          <w:sz w:val="24"/>
        </w:rPr>
        <w:t xml:space="preserve"> </w:t>
      </w:r>
      <w:r>
        <w:rPr>
          <w:sz w:val="24"/>
        </w:rPr>
        <w:t>estimated</w:t>
      </w:r>
      <w:r>
        <w:rPr>
          <w:spacing w:val="-3"/>
          <w:sz w:val="24"/>
        </w:rPr>
        <w:t xml:space="preserve"> </w:t>
      </w:r>
      <w:r>
        <w:rPr>
          <w:sz w:val="24"/>
        </w:rPr>
        <w:t>partner</w:t>
      </w:r>
      <w:r>
        <w:rPr>
          <w:spacing w:val="-1"/>
          <w:sz w:val="24"/>
        </w:rPr>
        <w:t xml:space="preserve"> </w:t>
      </w:r>
      <w:r>
        <w:rPr>
          <w:spacing w:val="-2"/>
          <w:sz w:val="24"/>
        </w:rPr>
        <w:t>contributions.</w:t>
      </w:r>
    </w:p>
    <w:p w14:paraId="365A96D2" w14:textId="77777777" w:rsidR="00E41A5B" w:rsidRDefault="00E41A5B">
      <w:pPr>
        <w:pStyle w:val="BodyText"/>
        <w:jc w:val="left"/>
      </w:pPr>
    </w:p>
    <w:p w14:paraId="365A96D3" w14:textId="77777777" w:rsidR="00E41A5B" w:rsidRDefault="00DA7B02">
      <w:pPr>
        <w:pStyle w:val="ListParagraph"/>
        <w:numPr>
          <w:ilvl w:val="0"/>
          <w:numId w:val="19"/>
        </w:numPr>
        <w:tabs>
          <w:tab w:val="left" w:pos="1899"/>
        </w:tabs>
        <w:ind w:left="1899" w:hanging="240"/>
        <w:rPr>
          <w:sz w:val="24"/>
        </w:rPr>
      </w:pPr>
      <w:r>
        <w:rPr>
          <w:sz w:val="24"/>
        </w:rPr>
        <w:t>Prepare</w:t>
      </w:r>
      <w:r>
        <w:rPr>
          <w:spacing w:val="-1"/>
          <w:sz w:val="24"/>
        </w:rPr>
        <w:t xml:space="preserve"> </w:t>
      </w:r>
      <w:r>
        <w:rPr>
          <w:sz w:val="24"/>
        </w:rPr>
        <w:t>and agree</w:t>
      </w:r>
      <w:r>
        <w:rPr>
          <w:spacing w:val="-2"/>
          <w:sz w:val="24"/>
        </w:rPr>
        <w:t xml:space="preserve"> </w:t>
      </w:r>
      <w:r>
        <w:rPr>
          <w:sz w:val="24"/>
        </w:rPr>
        <w:t>to</w:t>
      </w:r>
      <w:r>
        <w:rPr>
          <w:spacing w:val="-1"/>
          <w:sz w:val="24"/>
        </w:rPr>
        <w:t xml:space="preserve"> </w:t>
      </w:r>
      <w:r>
        <w:rPr>
          <w:sz w:val="24"/>
        </w:rPr>
        <w:t xml:space="preserve">the </w:t>
      </w:r>
      <w:r>
        <w:rPr>
          <w:spacing w:val="-2"/>
          <w:sz w:val="24"/>
        </w:rPr>
        <w:t>IFA(s).</w:t>
      </w:r>
    </w:p>
    <w:p w14:paraId="365A96D4" w14:textId="77777777" w:rsidR="00E41A5B" w:rsidRDefault="00E41A5B">
      <w:pPr>
        <w:pStyle w:val="BodyText"/>
        <w:jc w:val="left"/>
      </w:pPr>
    </w:p>
    <w:p w14:paraId="365A96D5" w14:textId="77777777" w:rsidR="00E41A5B" w:rsidRDefault="00DA7B02">
      <w:pPr>
        <w:pStyle w:val="ListParagraph"/>
        <w:numPr>
          <w:ilvl w:val="0"/>
          <w:numId w:val="19"/>
        </w:numPr>
        <w:tabs>
          <w:tab w:val="left" w:pos="1899"/>
        </w:tabs>
        <w:ind w:left="1899" w:hanging="240"/>
        <w:rPr>
          <w:sz w:val="24"/>
        </w:rPr>
      </w:pPr>
      <w:r>
        <w:rPr>
          <w:sz w:val="24"/>
        </w:rPr>
        <w:t>Allocate</w:t>
      </w:r>
      <w:r>
        <w:rPr>
          <w:spacing w:val="-4"/>
          <w:sz w:val="24"/>
        </w:rPr>
        <w:t xml:space="preserve"> </w:t>
      </w:r>
      <w:r>
        <w:rPr>
          <w:sz w:val="24"/>
        </w:rPr>
        <w:t>actual</w:t>
      </w:r>
      <w:r>
        <w:rPr>
          <w:spacing w:val="-1"/>
          <w:sz w:val="24"/>
        </w:rPr>
        <w:t xml:space="preserve"> </w:t>
      </w:r>
      <w:r>
        <w:rPr>
          <w:sz w:val="24"/>
        </w:rPr>
        <w:t>costs</w:t>
      </w:r>
      <w:r>
        <w:rPr>
          <w:spacing w:val="-1"/>
          <w:sz w:val="24"/>
        </w:rPr>
        <w:t xml:space="preserve"> </w:t>
      </w:r>
      <w:r>
        <w:rPr>
          <w:sz w:val="24"/>
        </w:rPr>
        <w:t>by</w:t>
      </w:r>
      <w:r>
        <w:rPr>
          <w:spacing w:val="-4"/>
          <w:sz w:val="24"/>
        </w:rPr>
        <w:t xml:space="preserve"> </w:t>
      </w:r>
      <w:r>
        <w:rPr>
          <w:sz w:val="24"/>
        </w:rPr>
        <w:t>each</w:t>
      </w:r>
      <w:r>
        <w:rPr>
          <w:spacing w:val="-1"/>
          <w:sz w:val="24"/>
        </w:rPr>
        <w:t xml:space="preserve"> </w:t>
      </w:r>
      <w:r>
        <w:rPr>
          <w:sz w:val="24"/>
        </w:rPr>
        <w:t>partner’s proportionate</w:t>
      </w:r>
      <w:r>
        <w:rPr>
          <w:spacing w:val="-2"/>
          <w:sz w:val="24"/>
        </w:rPr>
        <w:t xml:space="preserve"> </w:t>
      </w:r>
      <w:r>
        <w:rPr>
          <w:sz w:val="24"/>
        </w:rPr>
        <w:t>use</w:t>
      </w:r>
      <w:r>
        <w:rPr>
          <w:spacing w:val="-2"/>
          <w:sz w:val="24"/>
        </w:rPr>
        <w:t xml:space="preserve"> </w:t>
      </w:r>
      <w:r>
        <w:rPr>
          <w:sz w:val="24"/>
        </w:rPr>
        <w:t>and</w:t>
      </w:r>
      <w:r>
        <w:rPr>
          <w:spacing w:val="1"/>
          <w:sz w:val="24"/>
        </w:rPr>
        <w:t xml:space="preserve"> </w:t>
      </w:r>
      <w:r>
        <w:rPr>
          <w:sz w:val="24"/>
        </w:rPr>
        <w:t>relative</w:t>
      </w:r>
      <w:r>
        <w:rPr>
          <w:spacing w:val="-2"/>
          <w:sz w:val="24"/>
        </w:rPr>
        <w:t xml:space="preserve"> </w:t>
      </w:r>
      <w:r>
        <w:rPr>
          <w:sz w:val="24"/>
        </w:rPr>
        <w:t xml:space="preserve">benefit </w:t>
      </w:r>
      <w:r>
        <w:rPr>
          <w:spacing w:val="-2"/>
          <w:sz w:val="24"/>
        </w:rPr>
        <w:t>received.</w:t>
      </w:r>
    </w:p>
    <w:p w14:paraId="365A96D6" w14:textId="77777777" w:rsidR="00E41A5B" w:rsidRDefault="00E41A5B">
      <w:pPr>
        <w:pStyle w:val="BodyText"/>
        <w:jc w:val="left"/>
      </w:pPr>
    </w:p>
    <w:p w14:paraId="365A96D7" w14:textId="77777777" w:rsidR="00E41A5B" w:rsidRDefault="00DA7B02">
      <w:pPr>
        <w:pStyle w:val="ListParagraph"/>
        <w:numPr>
          <w:ilvl w:val="0"/>
          <w:numId w:val="19"/>
        </w:numPr>
        <w:tabs>
          <w:tab w:val="left" w:pos="1900"/>
        </w:tabs>
        <w:ind w:left="1900" w:hanging="240"/>
        <w:rPr>
          <w:sz w:val="24"/>
        </w:rPr>
      </w:pPr>
      <w:r>
        <w:rPr>
          <w:sz w:val="24"/>
        </w:rPr>
        <w:t>Conduct</w:t>
      </w:r>
      <w:r>
        <w:rPr>
          <w:spacing w:val="-3"/>
          <w:sz w:val="24"/>
        </w:rPr>
        <w:t xml:space="preserve"> </w:t>
      </w:r>
      <w:r>
        <w:rPr>
          <w:sz w:val="24"/>
        </w:rPr>
        <w:t>a</w:t>
      </w:r>
      <w:r>
        <w:rPr>
          <w:spacing w:val="-2"/>
          <w:sz w:val="24"/>
        </w:rPr>
        <w:t xml:space="preserve"> </w:t>
      </w:r>
      <w:r>
        <w:rPr>
          <w:sz w:val="24"/>
        </w:rPr>
        <w:t>periodic</w:t>
      </w:r>
      <w:r>
        <w:rPr>
          <w:spacing w:val="-1"/>
          <w:sz w:val="24"/>
        </w:rPr>
        <w:t xml:space="preserve"> </w:t>
      </w:r>
      <w:r>
        <w:rPr>
          <w:sz w:val="24"/>
        </w:rPr>
        <w:t>reconciliation</w:t>
      </w:r>
      <w:r>
        <w:rPr>
          <w:spacing w:val="-1"/>
          <w:sz w:val="24"/>
        </w:rPr>
        <w:t xml:space="preserve"> </w:t>
      </w:r>
      <w:r>
        <w:rPr>
          <w:sz w:val="24"/>
        </w:rPr>
        <w:t>(i.e., monthly</w:t>
      </w:r>
      <w:r>
        <w:rPr>
          <w:spacing w:val="-4"/>
          <w:sz w:val="24"/>
        </w:rPr>
        <w:t xml:space="preserve"> </w:t>
      </w:r>
      <w:r>
        <w:rPr>
          <w:sz w:val="24"/>
        </w:rPr>
        <w:t>or</w:t>
      </w:r>
      <w:r>
        <w:rPr>
          <w:spacing w:val="-1"/>
          <w:sz w:val="24"/>
        </w:rPr>
        <w:t xml:space="preserve"> </w:t>
      </w:r>
      <w:r>
        <w:rPr>
          <w:spacing w:val="-2"/>
          <w:sz w:val="24"/>
        </w:rPr>
        <w:t>quarterly).</w:t>
      </w:r>
    </w:p>
    <w:p w14:paraId="365A96D8" w14:textId="77777777" w:rsidR="00E41A5B" w:rsidRDefault="00E41A5B">
      <w:pPr>
        <w:pStyle w:val="BodyText"/>
        <w:jc w:val="left"/>
      </w:pPr>
    </w:p>
    <w:p w14:paraId="365A96D9" w14:textId="77777777" w:rsidR="00E41A5B" w:rsidRDefault="00DA7B02">
      <w:pPr>
        <w:pStyle w:val="ListParagraph"/>
        <w:numPr>
          <w:ilvl w:val="0"/>
          <w:numId w:val="19"/>
        </w:numPr>
        <w:tabs>
          <w:tab w:val="left" w:pos="1900"/>
        </w:tabs>
        <w:ind w:left="1900" w:hanging="240"/>
        <w:rPr>
          <w:sz w:val="24"/>
        </w:rPr>
      </w:pPr>
      <w:proofErr w:type="gramStart"/>
      <w:r>
        <w:rPr>
          <w:sz w:val="24"/>
        </w:rPr>
        <w:t>Modify</w:t>
      </w:r>
      <w:proofErr w:type="gramEnd"/>
      <w:r>
        <w:rPr>
          <w:spacing w:val="-9"/>
          <w:sz w:val="24"/>
        </w:rPr>
        <w:t xml:space="preserve"> </w:t>
      </w:r>
      <w:r>
        <w:rPr>
          <w:sz w:val="24"/>
        </w:rPr>
        <w:t>infrastructure</w:t>
      </w:r>
      <w:r>
        <w:rPr>
          <w:spacing w:val="-1"/>
          <w:sz w:val="24"/>
        </w:rPr>
        <w:t xml:space="preserve"> </w:t>
      </w:r>
      <w:r>
        <w:rPr>
          <w:sz w:val="24"/>
        </w:rPr>
        <w:t>costs</w:t>
      </w:r>
      <w:r>
        <w:rPr>
          <w:spacing w:val="-2"/>
          <w:sz w:val="24"/>
        </w:rPr>
        <w:t xml:space="preserve"> </w:t>
      </w:r>
      <w:r>
        <w:rPr>
          <w:sz w:val="24"/>
        </w:rPr>
        <w:t>budget and/or</w:t>
      </w:r>
      <w:r>
        <w:rPr>
          <w:spacing w:val="-2"/>
          <w:sz w:val="24"/>
        </w:rPr>
        <w:t xml:space="preserve"> </w:t>
      </w:r>
      <w:r>
        <w:rPr>
          <w:sz w:val="24"/>
        </w:rPr>
        <w:t>cost allocation</w:t>
      </w:r>
      <w:r>
        <w:rPr>
          <w:spacing w:val="-2"/>
          <w:sz w:val="24"/>
        </w:rPr>
        <w:t xml:space="preserve"> </w:t>
      </w:r>
      <w:r>
        <w:rPr>
          <w:sz w:val="24"/>
        </w:rPr>
        <w:t>methodology, as</w:t>
      </w:r>
      <w:r>
        <w:rPr>
          <w:spacing w:val="-1"/>
          <w:sz w:val="24"/>
        </w:rPr>
        <w:t xml:space="preserve"> </w:t>
      </w:r>
      <w:r>
        <w:rPr>
          <w:spacing w:val="-2"/>
          <w:sz w:val="24"/>
        </w:rPr>
        <w:t>appropriate.</w:t>
      </w:r>
    </w:p>
    <w:p w14:paraId="365A96DA" w14:textId="77777777" w:rsidR="00E41A5B" w:rsidRDefault="00E41A5B">
      <w:pPr>
        <w:pStyle w:val="BodyText"/>
        <w:jc w:val="left"/>
      </w:pPr>
    </w:p>
    <w:p w14:paraId="365A96DB" w14:textId="77777777" w:rsidR="00E41A5B" w:rsidRDefault="00DA7B02">
      <w:pPr>
        <w:pStyle w:val="ListParagraph"/>
        <w:numPr>
          <w:ilvl w:val="0"/>
          <w:numId w:val="19"/>
        </w:numPr>
        <w:tabs>
          <w:tab w:val="left" w:pos="1900"/>
        </w:tabs>
        <w:ind w:left="1900" w:hanging="240"/>
        <w:rPr>
          <w:sz w:val="24"/>
        </w:rPr>
      </w:pPr>
      <w:r>
        <w:rPr>
          <w:sz w:val="24"/>
        </w:rPr>
        <w:t>Evaluate</w:t>
      </w:r>
      <w:r>
        <w:rPr>
          <w:spacing w:val="-4"/>
          <w:sz w:val="24"/>
        </w:rPr>
        <w:t xml:space="preserve"> </w:t>
      </w:r>
      <w:r>
        <w:rPr>
          <w:sz w:val="24"/>
        </w:rPr>
        <w:t>the</w:t>
      </w:r>
      <w:r>
        <w:rPr>
          <w:spacing w:val="-1"/>
          <w:sz w:val="24"/>
        </w:rPr>
        <w:t xml:space="preserve"> </w:t>
      </w:r>
      <w:r>
        <w:rPr>
          <w:sz w:val="24"/>
        </w:rPr>
        <w:t>existing</w:t>
      </w:r>
      <w:r>
        <w:rPr>
          <w:spacing w:val="-4"/>
          <w:sz w:val="24"/>
        </w:rPr>
        <w:t xml:space="preserve"> </w:t>
      </w:r>
      <w:r>
        <w:rPr>
          <w:sz w:val="24"/>
        </w:rPr>
        <w:t>process and prepare</w:t>
      </w:r>
      <w:r>
        <w:rPr>
          <w:spacing w:val="-2"/>
          <w:sz w:val="24"/>
        </w:rPr>
        <w:t xml:space="preserve"> </w:t>
      </w:r>
      <w:r>
        <w:rPr>
          <w:sz w:val="24"/>
        </w:rPr>
        <w:t>for</w:t>
      </w:r>
      <w:r>
        <w:rPr>
          <w:spacing w:val="-1"/>
          <w:sz w:val="24"/>
        </w:rPr>
        <w:t xml:space="preserve"> </w:t>
      </w:r>
      <w:r>
        <w:rPr>
          <w:sz w:val="24"/>
        </w:rPr>
        <w:t>the</w:t>
      </w:r>
      <w:r>
        <w:rPr>
          <w:spacing w:val="-2"/>
          <w:sz w:val="24"/>
        </w:rPr>
        <w:t xml:space="preserve"> </w:t>
      </w:r>
      <w:r>
        <w:rPr>
          <w:sz w:val="24"/>
        </w:rPr>
        <w:t>following</w:t>
      </w:r>
      <w:r>
        <w:rPr>
          <w:spacing w:val="-3"/>
          <w:sz w:val="24"/>
        </w:rPr>
        <w:t xml:space="preserve"> </w:t>
      </w:r>
      <w:r>
        <w:rPr>
          <w:sz w:val="24"/>
        </w:rPr>
        <w:t>program</w:t>
      </w:r>
      <w:r>
        <w:rPr>
          <w:spacing w:val="5"/>
          <w:sz w:val="24"/>
        </w:rPr>
        <w:t xml:space="preserve"> </w:t>
      </w:r>
      <w:r>
        <w:rPr>
          <w:spacing w:val="-2"/>
          <w:sz w:val="24"/>
        </w:rPr>
        <w:t>year.</w:t>
      </w:r>
    </w:p>
    <w:p w14:paraId="365A96DC" w14:textId="77777777" w:rsidR="00E41A5B" w:rsidRDefault="00E41A5B">
      <w:pPr>
        <w:pStyle w:val="BodyText"/>
        <w:jc w:val="left"/>
      </w:pPr>
    </w:p>
    <w:p w14:paraId="365A96DD" w14:textId="77777777" w:rsidR="00E41A5B" w:rsidRDefault="00DA7B02">
      <w:pPr>
        <w:pStyle w:val="BodyText"/>
        <w:ind w:left="1300" w:right="1358"/>
      </w:pPr>
      <w:r>
        <w:t>Please note the IFAs do not need prior approval from a Federal cognizant agency or a pass</w:t>
      </w:r>
      <w:proofErr w:type="gramStart"/>
      <w:r>
        <w:t>- through</w:t>
      </w:r>
      <w:proofErr w:type="gramEnd"/>
      <w:r>
        <w:t xml:space="preserve"> agency</w:t>
      </w:r>
      <w:r>
        <w:rPr>
          <w:spacing w:val="-6"/>
        </w:rPr>
        <w:t xml:space="preserve"> </w:t>
      </w:r>
      <w:r>
        <w:t>that would have otherwise reviewed and approved proposals for the allocation of indirect costs. However, the infrastructure funding mechanisms are subject to review by Federal administering</w:t>
      </w:r>
      <w:r>
        <w:rPr>
          <w:spacing w:val="-5"/>
        </w:rPr>
        <w:t xml:space="preserve"> </w:t>
      </w:r>
      <w:r>
        <w:t>agencies and</w:t>
      </w:r>
      <w:r>
        <w:rPr>
          <w:spacing w:val="-2"/>
        </w:rPr>
        <w:t xml:space="preserve"> </w:t>
      </w:r>
      <w:r>
        <w:t>one-stop</w:t>
      </w:r>
      <w:r>
        <w:rPr>
          <w:spacing w:val="-2"/>
        </w:rPr>
        <w:t xml:space="preserve"> </w:t>
      </w:r>
      <w:r>
        <w:t>partners</w:t>
      </w:r>
      <w:r>
        <w:rPr>
          <w:spacing w:val="-2"/>
        </w:rPr>
        <w:t xml:space="preserve"> </w:t>
      </w:r>
      <w:r>
        <w:t>to</w:t>
      </w:r>
      <w:r>
        <w:rPr>
          <w:spacing w:val="-2"/>
        </w:rPr>
        <w:t xml:space="preserve"> </w:t>
      </w:r>
      <w:r>
        <w:t>ensure</w:t>
      </w:r>
      <w:r>
        <w:rPr>
          <w:spacing w:val="-3"/>
        </w:rPr>
        <w:t xml:space="preserve"> </w:t>
      </w:r>
      <w:r>
        <w:t>compliance</w:t>
      </w:r>
      <w:r>
        <w:rPr>
          <w:spacing w:val="-3"/>
        </w:rPr>
        <w:t xml:space="preserve"> </w:t>
      </w:r>
      <w:r>
        <w:t>with</w:t>
      </w:r>
      <w:r>
        <w:rPr>
          <w:spacing w:val="-2"/>
        </w:rPr>
        <w:t xml:space="preserve"> </w:t>
      </w:r>
      <w:r>
        <w:t>applicable</w:t>
      </w:r>
      <w:r>
        <w:rPr>
          <w:spacing w:val="-3"/>
        </w:rPr>
        <w:t xml:space="preserve"> </w:t>
      </w:r>
      <w:r>
        <w:t>requirements.</w:t>
      </w:r>
    </w:p>
    <w:p w14:paraId="365A96DE" w14:textId="77777777" w:rsidR="00E41A5B" w:rsidRDefault="00E41A5B">
      <w:pPr>
        <w:pStyle w:val="BodyText"/>
        <w:jc w:val="left"/>
      </w:pPr>
    </w:p>
    <w:p w14:paraId="365A96E0" w14:textId="1986D148" w:rsidR="00E41A5B" w:rsidRPr="009148E4" w:rsidRDefault="00DA7B02" w:rsidP="009148E4">
      <w:pPr>
        <w:pStyle w:val="ListParagraph"/>
        <w:numPr>
          <w:ilvl w:val="0"/>
          <w:numId w:val="22"/>
        </w:numPr>
        <w:tabs>
          <w:tab w:val="left" w:pos="1539"/>
        </w:tabs>
        <w:spacing w:before="1"/>
        <w:ind w:left="1299" w:right="1353" w:firstLine="0"/>
        <w:rPr>
          <w:sz w:val="24"/>
          <w:szCs w:val="24"/>
        </w:rPr>
      </w:pPr>
      <w:r w:rsidRPr="009148E4">
        <w:rPr>
          <w:b/>
          <w:sz w:val="24"/>
          <w:u w:val="single"/>
        </w:rPr>
        <w:t>Infrastructure</w:t>
      </w:r>
      <w:r w:rsidRPr="009148E4">
        <w:rPr>
          <w:b/>
          <w:spacing w:val="-3"/>
          <w:sz w:val="24"/>
          <w:u w:val="single"/>
        </w:rPr>
        <w:t xml:space="preserve"> </w:t>
      </w:r>
      <w:r w:rsidRPr="009148E4">
        <w:rPr>
          <w:b/>
          <w:sz w:val="24"/>
          <w:u w:val="single"/>
        </w:rPr>
        <w:t>Funding</w:t>
      </w:r>
      <w:r w:rsidRPr="009148E4">
        <w:rPr>
          <w:b/>
          <w:spacing w:val="-4"/>
          <w:sz w:val="24"/>
          <w:u w:val="single"/>
        </w:rPr>
        <w:t xml:space="preserve"> </w:t>
      </w:r>
      <w:r w:rsidRPr="009148E4">
        <w:rPr>
          <w:b/>
          <w:sz w:val="24"/>
          <w:u w:val="single"/>
        </w:rPr>
        <w:t>Mechanisms</w:t>
      </w:r>
      <w:r w:rsidRPr="009148E4">
        <w:rPr>
          <w:b/>
          <w:sz w:val="24"/>
        </w:rPr>
        <w:t xml:space="preserve">. </w:t>
      </w:r>
      <w:r>
        <w:rPr>
          <w:sz w:val="24"/>
        </w:rPr>
        <w:t>Infrastructure</w:t>
      </w:r>
      <w:r w:rsidRPr="009148E4">
        <w:rPr>
          <w:spacing w:val="-3"/>
          <w:sz w:val="24"/>
        </w:rPr>
        <w:t xml:space="preserve"> </w:t>
      </w:r>
      <w:r>
        <w:rPr>
          <w:sz w:val="24"/>
        </w:rPr>
        <w:t>costs</w:t>
      </w:r>
      <w:r w:rsidRPr="009148E4">
        <w:rPr>
          <w:spacing w:val="-4"/>
          <w:sz w:val="24"/>
        </w:rPr>
        <w:t xml:space="preserve"> </w:t>
      </w:r>
      <w:r>
        <w:rPr>
          <w:sz w:val="24"/>
        </w:rPr>
        <w:t>are</w:t>
      </w:r>
      <w:r w:rsidRPr="009148E4">
        <w:rPr>
          <w:spacing w:val="-4"/>
          <w:sz w:val="24"/>
        </w:rPr>
        <w:t xml:space="preserve"> </w:t>
      </w:r>
      <w:r>
        <w:rPr>
          <w:sz w:val="24"/>
        </w:rPr>
        <w:t>funded</w:t>
      </w:r>
      <w:r w:rsidRPr="009148E4">
        <w:rPr>
          <w:spacing w:val="-4"/>
          <w:sz w:val="24"/>
        </w:rPr>
        <w:t xml:space="preserve"> </w:t>
      </w:r>
      <w:r>
        <w:rPr>
          <w:sz w:val="24"/>
        </w:rPr>
        <w:t>either</w:t>
      </w:r>
      <w:r w:rsidRPr="009148E4">
        <w:rPr>
          <w:spacing w:val="-4"/>
          <w:sz w:val="24"/>
        </w:rPr>
        <w:t xml:space="preserve"> </w:t>
      </w:r>
      <w:r>
        <w:rPr>
          <w:sz w:val="24"/>
        </w:rPr>
        <w:t>through</w:t>
      </w:r>
      <w:r w:rsidRPr="009148E4">
        <w:rPr>
          <w:spacing w:val="-4"/>
          <w:sz w:val="24"/>
        </w:rPr>
        <w:t xml:space="preserve"> </w:t>
      </w:r>
      <w:r>
        <w:rPr>
          <w:sz w:val="24"/>
        </w:rPr>
        <w:t>the</w:t>
      </w:r>
      <w:r w:rsidRPr="009148E4">
        <w:rPr>
          <w:spacing w:val="-1"/>
          <w:sz w:val="24"/>
        </w:rPr>
        <w:t xml:space="preserve"> </w:t>
      </w:r>
      <w:r>
        <w:rPr>
          <w:sz w:val="24"/>
        </w:rPr>
        <w:t>LFM or</w:t>
      </w:r>
      <w:r w:rsidRPr="009148E4">
        <w:rPr>
          <w:spacing w:val="-1"/>
          <w:sz w:val="24"/>
        </w:rPr>
        <w:t xml:space="preserve"> </w:t>
      </w:r>
      <w:r>
        <w:rPr>
          <w:sz w:val="24"/>
        </w:rPr>
        <w:t>SFM.</w:t>
      </w:r>
      <w:r w:rsidRPr="009148E4">
        <w:rPr>
          <w:spacing w:val="40"/>
          <w:sz w:val="24"/>
        </w:rPr>
        <w:t xml:space="preserve"> </w:t>
      </w:r>
      <w:r>
        <w:rPr>
          <w:sz w:val="24"/>
        </w:rPr>
        <w:t>The LFM affords LWDBs and local one-stop partner programs flexibility</w:t>
      </w:r>
      <w:r w:rsidRPr="009148E4">
        <w:rPr>
          <w:spacing w:val="-7"/>
          <w:sz w:val="24"/>
        </w:rPr>
        <w:t xml:space="preserve"> </w:t>
      </w:r>
      <w:r>
        <w:rPr>
          <w:sz w:val="24"/>
        </w:rPr>
        <w:t xml:space="preserve">to design and fund a one-stop delivery system through consensus, to meet the needs of their local or regional area by leveraging the funds and resources available to partners, and the LWDB to optimally provide program services (20 CFR </w:t>
      </w:r>
      <w:r w:rsidR="009148E4">
        <w:t>§§</w:t>
      </w:r>
      <w:r w:rsidR="009148E4">
        <w:t xml:space="preserve"> </w:t>
      </w:r>
      <w:r>
        <w:rPr>
          <w:sz w:val="24"/>
        </w:rPr>
        <w:t xml:space="preserve">678.715 through 678.725, 34 CFR 361.715 through 361.725, and 34 CFR 463.715 through 463.725). If the LWDB fails to reach consensus with all of the required partners with regard to the amount each partner will contribute to the one-stop delivery system’s infrastructure costs pursuant to WIOA </w:t>
      </w:r>
      <w:r w:rsidR="009148E4">
        <w:rPr>
          <w:sz w:val="24"/>
        </w:rPr>
        <w:t>S</w:t>
      </w:r>
      <w:r>
        <w:rPr>
          <w:sz w:val="24"/>
        </w:rPr>
        <w:t>ec. 121(h)(1)(A)(</w:t>
      </w:r>
      <w:proofErr w:type="spellStart"/>
      <w:r>
        <w:rPr>
          <w:sz w:val="24"/>
        </w:rPr>
        <w:t>i</w:t>
      </w:r>
      <w:proofErr w:type="spellEnd"/>
      <w:r>
        <w:rPr>
          <w:sz w:val="24"/>
        </w:rPr>
        <w:t>)(I), the SFM is triggered pursuant</w:t>
      </w:r>
      <w:r w:rsidRPr="009148E4">
        <w:rPr>
          <w:spacing w:val="6"/>
          <w:sz w:val="24"/>
        </w:rPr>
        <w:t xml:space="preserve"> </w:t>
      </w:r>
      <w:r>
        <w:rPr>
          <w:sz w:val="24"/>
        </w:rPr>
        <w:t>to</w:t>
      </w:r>
      <w:r w:rsidRPr="009148E4">
        <w:rPr>
          <w:spacing w:val="6"/>
          <w:sz w:val="24"/>
        </w:rPr>
        <w:t xml:space="preserve"> </w:t>
      </w:r>
      <w:r>
        <w:rPr>
          <w:sz w:val="24"/>
        </w:rPr>
        <w:t>WIOA</w:t>
      </w:r>
      <w:r w:rsidRPr="009148E4">
        <w:rPr>
          <w:spacing w:val="8"/>
          <w:sz w:val="24"/>
        </w:rPr>
        <w:t xml:space="preserve"> </w:t>
      </w:r>
      <w:r w:rsidR="009148E4">
        <w:rPr>
          <w:sz w:val="24"/>
        </w:rPr>
        <w:t>S</w:t>
      </w:r>
      <w:r>
        <w:rPr>
          <w:sz w:val="24"/>
        </w:rPr>
        <w:t>ec.</w:t>
      </w:r>
      <w:r w:rsidRPr="009148E4">
        <w:rPr>
          <w:spacing w:val="8"/>
          <w:sz w:val="24"/>
        </w:rPr>
        <w:t xml:space="preserve"> </w:t>
      </w:r>
      <w:r>
        <w:rPr>
          <w:sz w:val="24"/>
        </w:rPr>
        <w:t>121(h)(1)(A)(ii)</w:t>
      </w:r>
      <w:r w:rsidRPr="009148E4">
        <w:rPr>
          <w:spacing w:val="8"/>
          <w:sz w:val="24"/>
        </w:rPr>
        <w:t xml:space="preserve"> </w:t>
      </w:r>
      <w:r>
        <w:rPr>
          <w:sz w:val="24"/>
        </w:rPr>
        <w:t>and</w:t>
      </w:r>
      <w:r w:rsidRPr="009148E4">
        <w:rPr>
          <w:spacing w:val="6"/>
          <w:sz w:val="24"/>
        </w:rPr>
        <w:t xml:space="preserve"> </w:t>
      </w:r>
      <w:r>
        <w:rPr>
          <w:sz w:val="24"/>
        </w:rPr>
        <w:t>20</w:t>
      </w:r>
      <w:r w:rsidRPr="009148E4">
        <w:rPr>
          <w:spacing w:val="8"/>
          <w:sz w:val="24"/>
        </w:rPr>
        <w:t xml:space="preserve"> </w:t>
      </w:r>
      <w:r>
        <w:rPr>
          <w:sz w:val="24"/>
        </w:rPr>
        <w:t>CFR</w:t>
      </w:r>
      <w:r w:rsidRPr="009148E4">
        <w:rPr>
          <w:spacing w:val="6"/>
          <w:sz w:val="24"/>
        </w:rPr>
        <w:t xml:space="preserve"> </w:t>
      </w:r>
      <w:r w:rsidR="009148E4">
        <w:t>§§</w:t>
      </w:r>
      <w:r w:rsidR="009148E4">
        <w:t xml:space="preserve"> </w:t>
      </w:r>
      <w:r>
        <w:rPr>
          <w:sz w:val="24"/>
        </w:rPr>
        <w:t>678.725</w:t>
      </w:r>
      <w:r w:rsidRPr="009148E4">
        <w:rPr>
          <w:spacing w:val="8"/>
          <w:sz w:val="24"/>
        </w:rPr>
        <w:t xml:space="preserve"> </w:t>
      </w:r>
      <w:r>
        <w:rPr>
          <w:sz w:val="24"/>
        </w:rPr>
        <w:t>and</w:t>
      </w:r>
      <w:r w:rsidRPr="009148E4">
        <w:rPr>
          <w:spacing w:val="7"/>
          <w:sz w:val="24"/>
        </w:rPr>
        <w:t xml:space="preserve"> </w:t>
      </w:r>
      <w:r>
        <w:rPr>
          <w:sz w:val="24"/>
        </w:rPr>
        <w:t>678.730,</w:t>
      </w:r>
      <w:r w:rsidRPr="009148E4">
        <w:rPr>
          <w:spacing w:val="6"/>
          <w:sz w:val="24"/>
        </w:rPr>
        <w:t xml:space="preserve"> </w:t>
      </w:r>
      <w:r>
        <w:rPr>
          <w:sz w:val="24"/>
        </w:rPr>
        <w:t>34</w:t>
      </w:r>
      <w:r w:rsidRPr="009148E4">
        <w:rPr>
          <w:spacing w:val="6"/>
          <w:sz w:val="24"/>
        </w:rPr>
        <w:t xml:space="preserve"> </w:t>
      </w:r>
      <w:r>
        <w:rPr>
          <w:sz w:val="24"/>
        </w:rPr>
        <w:t>CFR</w:t>
      </w:r>
      <w:r w:rsidRPr="009148E4">
        <w:rPr>
          <w:spacing w:val="6"/>
          <w:sz w:val="24"/>
        </w:rPr>
        <w:t xml:space="preserve"> </w:t>
      </w:r>
      <w:r>
        <w:rPr>
          <w:sz w:val="24"/>
        </w:rPr>
        <w:t>361.725</w:t>
      </w:r>
      <w:r w:rsidRPr="009148E4">
        <w:rPr>
          <w:spacing w:val="9"/>
          <w:sz w:val="24"/>
        </w:rPr>
        <w:t xml:space="preserve"> </w:t>
      </w:r>
      <w:r w:rsidRPr="009148E4">
        <w:rPr>
          <w:spacing w:val="-5"/>
          <w:sz w:val="24"/>
        </w:rPr>
        <w:t>and</w:t>
      </w:r>
      <w:r w:rsidR="009148E4">
        <w:rPr>
          <w:spacing w:val="-5"/>
          <w:sz w:val="24"/>
        </w:rPr>
        <w:t xml:space="preserve"> 3</w:t>
      </w:r>
      <w:r w:rsidRPr="009148E4">
        <w:rPr>
          <w:sz w:val="24"/>
          <w:szCs w:val="24"/>
        </w:rPr>
        <w:t>61.730,</w:t>
      </w:r>
      <w:r w:rsidRPr="009148E4">
        <w:rPr>
          <w:spacing w:val="-1"/>
          <w:sz w:val="24"/>
          <w:szCs w:val="24"/>
        </w:rPr>
        <w:t xml:space="preserve"> </w:t>
      </w:r>
      <w:r w:rsidRPr="009148E4">
        <w:rPr>
          <w:sz w:val="24"/>
          <w:szCs w:val="24"/>
        </w:rPr>
        <w:t>and</w:t>
      </w:r>
      <w:r w:rsidRPr="009148E4">
        <w:rPr>
          <w:spacing w:val="-1"/>
          <w:sz w:val="24"/>
          <w:szCs w:val="24"/>
        </w:rPr>
        <w:t xml:space="preserve"> </w:t>
      </w:r>
      <w:r w:rsidRPr="009148E4">
        <w:rPr>
          <w:sz w:val="24"/>
          <w:szCs w:val="24"/>
        </w:rPr>
        <w:t>34 CFR</w:t>
      </w:r>
      <w:r w:rsidRPr="009148E4">
        <w:rPr>
          <w:spacing w:val="-1"/>
          <w:sz w:val="24"/>
          <w:szCs w:val="24"/>
        </w:rPr>
        <w:t xml:space="preserve"> </w:t>
      </w:r>
      <w:r w:rsidRPr="009148E4">
        <w:rPr>
          <w:sz w:val="24"/>
          <w:szCs w:val="24"/>
        </w:rPr>
        <w:t>463.725</w:t>
      </w:r>
      <w:r w:rsidRPr="009148E4">
        <w:rPr>
          <w:spacing w:val="-1"/>
          <w:sz w:val="24"/>
          <w:szCs w:val="24"/>
        </w:rPr>
        <w:t xml:space="preserve"> </w:t>
      </w:r>
      <w:r w:rsidRPr="009148E4">
        <w:rPr>
          <w:sz w:val="24"/>
          <w:szCs w:val="24"/>
        </w:rPr>
        <w:t xml:space="preserve">and </w:t>
      </w:r>
      <w:r w:rsidRPr="009148E4">
        <w:rPr>
          <w:spacing w:val="-2"/>
          <w:sz w:val="24"/>
          <w:szCs w:val="24"/>
        </w:rPr>
        <w:t>463.730.</w:t>
      </w:r>
    </w:p>
    <w:p w14:paraId="365A96E1" w14:textId="77777777" w:rsidR="00E41A5B" w:rsidRDefault="00E41A5B">
      <w:pPr>
        <w:sectPr w:rsidR="00E41A5B">
          <w:pgSz w:w="12240" w:h="15840"/>
          <w:pgMar w:top="1360" w:right="80" w:bottom="1540" w:left="140" w:header="0" w:footer="1345" w:gutter="0"/>
          <w:cols w:space="720"/>
        </w:sectPr>
      </w:pPr>
    </w:p>
    <w:p w14:paraId="365A96E2" w14:textId="4F9CDF9D" w:rsidR="00E41A5B" w:rsidRDefault="009148E4">
      <w:pPr>
        <w:pStyle w:val="Heading3"/>
        <w:spacing w:before="76"/>
        <w:ind w:left="1300"/>
      </w:pPr>
      <w:r>
        <w:rPr>
          <w:i w:val="0"/>
        </w:rPr>
        <w:lastRenderedPageBreak/>
        <w:t>Note</w:t>
      </w:r>
      <w:r w:rsidR="00DA7B02">
        <w:rPr>
          <w:i w:val="0"/>
        </w:rPr>
        <w:t xml:space="preserve">: </w:t>
      </w:r>
      <w:r w:rsidR="00DA7B02">
        <w:t>The initial deadline to notify the Governor should the LWDB local one-stop partners</w:t>
      </w:r>
      <w:r w:rsidR="00DA7B02">
        <w:t xml:space="preserve"> &amp; CEOs fail to reach a consensus</w:t>
      </w:r>
      <w:r w:rsidR="00DA7B02">
        <w:rPr>
          <w:spacing w:val="40"/>
        </w:rPr>
        <w:t xml:space="preserve"> </w:t>
      </w:r>
      <w:r w:rsidR="00DA7B02">
        <w:t xml:space="preserve">on methods of funding infrastructure costs is November 1, </w:t>
      </w:r>
      <w:proofErr w:type="gramStart"/>
      <w:r w:rsidR="00DA7B02">
        <w:t>2017</w:t>
      </w:r>
      <w:proofErr w:type="gramEnd"/>
      <w:r w:rsidR="00DA7B02">
        <w:t xml:space="preserve"> and each subsequent negotiated year on April 1.</w:t>
      </w:r>
    </w:p>
    <w:p w14:paraId="365A96E3" w14:textId="09CE2F25" w:rsidR="00E41A5B" w:rsidRDefault="00DA7B02">
      <w:pPr>
        <w:pStyle w:val="BodyText"/>
        <w:spacing w:before="272"/>
        <w:ind w:left="1300" w:right="1358"/>
      </w:pPr>
      <w:r>
        <w:t xml:space="preserve">Under the SFM, the Governor is required to calculate the statewide funding caps and the amount available for local areas that have not reached consensus, and to determine the partners’ contributions for infrastructure costs using the process outlined below, as well as in 20 CFR </w:t>
      </w:r>
      <w:r w:rsidR="009148E4">
        <w:t>§§</w:t>
      </w:r>
      <w:r w:rsidR="009148E4">
        <w:t xml:space="preserve"> </w:t>
      </w:r>
      <w:r>
        <w:t xml:space="preserve">678.730 through 678.738, 34 CFR 361.730 through 361.738, and 34 CFR 463.730 through 463.738. The Governor calculates the statewide caps by considering total funding for a partner program against the statutory caps specified in WIOA for infrastructure costs. Please note that WIOA and its implementing regulations identify caps for specific partner programs. The SFM is only applicable to required one-stop </w:t>
      </w:r>
      <w:proofErr w:type="gramStart"/>
      <w:r>
        <w:t>partners, and</w:t>
      </w:r>
      <w:proofErr w:type="gramEnd"/>
      <w:r>
        <w:t xml:space="preserve"> cannot be triggered by additional one-stop partners not reaching consensus.</w:t>
      </w:r>
    </w:p>
    <w:p w14:paraId="365A96E4" w14:textId="77777777" w:rsidR="00E41A5B" w:rsidRDefault="00E41A5B">
      <w:pPr>
        <w:pStyle w:val="BodyText"/>
        <w:jc w:val="left"/>
      </w:pPr>
    </w:p>
    <w:p w14:paraId="365A96E5" w14:textId="77777777" w:rsidR="00E41A5B" w:rsidRDefault="00DA7B02">
      <w:pPr>
        <w:pStyle w:val="BodyText"/>
        <w:ind w:left="1300" w:right="1357"/>
      </w:pPr>
      <w:r>
        <w:t xml:space="preserve">The intent of the LFM is to encourage local areas to make a good-faith effort to reach consensus in developing a local IFA. The SFM is intended as a failsafe if local partners cannot come to consensus regarding infrastructure cost funding. However, the application of capped levels of funding under the SFM may restrict the amount one-stop partners have available for infrastructure cost funding </w:t>
      </w:r>
      <w:proofErr w:type="gramStart"/>
      <w:r>
        <w:t>in a given</w:t>
      </w:r>
      <w:proofErr w:type="gramEnd"/>
      <w:r>
        <w:t xml:space="preserve"> local area.</w:t>
      </w:r>
    </w:p>
    <w:p w14:paraId="365A96E6" w14:textId="22BA149F" w:rsidR="00E41A5B" w:rsidRDefault="00DA7B02">
      <w:pPr>
        <w:pStyle w:val="BodyText"/>
        <w:spacing w:before="264"/>
        <w:ind w:left="1299" w:right="1356"/>
      </w:pPr>
      <w:r>
        <w:rPr>
          <w:b/>
        </w:rPr>
        <w:t xml:space="preserve">Local Funding Mechanism. </w:t>
      </w:r>
      <w:r>
        <w:t xml:space="preserve">In the LFM, the LWDB, CEO(s), and one-stop partners negotiate and agree to the amounts that each partner will contribute for one-stop infrastructure funding, as well as the methods of calculating these amounts in order to include the infrastructure funding terms in the MOU as an IFA, and to sign the IFA and MOU in accordance with WIOA </w:t>
      </w:r>
      <w:r w:rsidR="009148E4">
        <w:t>S</w:t>
      </w:r>
      <w:r>
        <w:t>ecs. 121(c)(2)(A)(ii) and 121(h)(1)(A)(</w:t>
      </w:r>
      <w:proofErr w:type="spellStart"/>
      <w:r>
        <w:t>i</w:t>
      </w:r>
      <w:proofErr w:type="spellEnd"/>
      <w:r>
        <w:t>).</w:t>
      </w:r>
    </w:p>
    <w:p w14:paraId="365A96E7" w14:textId="77777777" w:rsidR="00E41A5B" w:rsidRDefault="00E41A5B">
      <w:pPr>
        <w:pStyle w:val="BodyText"/>
        <w:spacing w:before="2"/>
        <w:jc w:val="left"/>
      </w:pPr>
    </w:p>
    <w:p w14:paraId="365A96E8" w14:textId="77777777" w:rsidR="00E41A5B" w:rsidRDefault="00DA7B02">
      <w:pPr>
        <w:pStyle w:val="ListParagraph"/>
        <w:numPr>
          <w:ilvl w:val="0"/>
          <w:numId w:val="18"/>
        </w:numPr>
        <w:tabs>
          <w:tab w:val="left" w:pos="2019"/>
        </w:tabs>
        <w:ind w:left="2019" w:right="1357"/>
        <w:rPr>
          <w:sz w:val="24"/>
        </w:rPr>
      </w:pPr>
      <w:r>
        <w:rPr>
          <w:sz w:val="24"/>
        </w:rPr>
        <w:t>A one-stop partner program’s proportionate share of funding must be calculated in accordance</w:t>
      </w:r>
      <w:r>
        <w:rPr>
          <w:spacing w:val="-3"/>
          <w:sz w:val="24"/>
        </w:rPr>
        <w:t xml:space="preserve"> </w:t>
      </w:r>
      <w:r>
        <w:rPr>
          <w:sz w:val="24"/>
        </w:rPr>
        <w:t>with</w:t>
      </w:r>
      <w:r>
        <w:rPr>
          <w:spacing w:val="-2"/>
          <w:sz w:val="24"/>
        </w:rPr>
        <w:t xml:space="preserve"> </w:t>
      </w:r>
      <w:r>
        <w:rPr>
          <w:sz w:val="24"/>
        </w:rPr>
        <w:t>WIOA,</w:t>
      </w:r>
      <w:r>
        <w:rPr>
          <w:spacing w:val="-2"/>
          <w:sz w:val="24"/>
        </w:rPr>
        <w:t xml:space="preserve"> </w:t>
      </w:r>
      <w:r>
        <w:rPr>
          <w:sz w:val="24"/>
        </w:rPr>
        <w:t>its</w:t>
      </w:r>
      <w:r>
        <w:rPr>
          <w:spacing w:val="-2"/>
          <w:sz w:val="24"/>
        </w:rPr>
        <w:t xml:space="preserve"> </w:t>
      </w:r>
      <w:r>
        <w:rPr>
          <w:sz w:val="24"/>
        </w:rPr>
        <w:t>implementing</w:t>
      </w:r>
      <w:r>
        <w:rPr>
          <w:spacing w:val="-4"/>
          <w:sz w:val="24"/>
        </w:rPr>
        <w:t xml:space="preserve"> </w:t>
      </w:r>
      <w:r>
        <w:rPr>
          <w:sz w:val="24"/>
        </w:rPr>
        <w:t>regulations,</w:t>
      </w:r>
      <w:r>
        <w:rPr>
          <w:spacing w:val="-2"/>
          <w:sz w:val="24"/>
        </w:rPr>
        <w:t xml:space="preserve"> </w:t>
      </w:r>
      <w:r>
        <w:rPr>
          <w:sz w:val="24"/>
        </w:rPr>
        <w:t>and</w:t>
      </w:r>
      <w:r>
        <w:rPr>
          <w:spacing w:val="-2"/>
          <w:sz w:val="24"/>
        </w:rPr>
        <w:t xml:space="preserve"> </w:t>
      </w:r>
      <w:r>
        <w:rPr>
          <w:sz w:val="24"/>
        </w:rPr>
        <w:t>the</w:t>
      </w:r>
      <w:r>
        <w:rPr>
          <w:spacing w:val="-3"/>
          <w:sz w:val="24"/>
        </w:rPr>
        <w:t xml:space="preserve"> </w:t>
      </w:r>
      <w:r>
        <w:rPr>
          <w:sz w:val="24"/>
        </w:rPr>
        <w:t>Uniform</w:t>
      </w:r>
      <w:r>
        <w:rPr>
          <w:spacing w:val="-2"/>
          <w:sz w:val="24"/>
        </w:rPr>
        <w:t xml:space="preserve"> </w:t>
      </w:r>
      <w:r>
        <w:rPr>
          <w:sz w:val="24"/>
        </w:rPr>
        <w:t>Guidance. It</w:t>
      </w:r>
      <w:r>
        <w:rPr>
          <w:spacing w:val="-2"/>
          <w:sz w:val="24"/>
        </w:rPr>
        <w:t xml:space="preserve"> </w:t>
      </w:r>
      <w:r>
        <w:rPr>
          <w:sz w:val="24"/>
        </w:rPr>
        <w:t>must be based upon a reasonable cost allocation methodology, whereby</w:t>
      </w:r>
      <w:r>
        <w:rPr>
          <w:spacing w:val="-6"/>
          <w:sz w:val="24"/>
        </w:rPr>
        <w:t xml:space="preserve"> </w:t>
      </w:r>
      <w:r>
        <w:rPr>
          <w:sz w:val="24"/>
        </w:rPr>
        <w:t xml:space="preserve">infrastructure costs are charged to each partner based on the partner’s proportionate use of the one-stop center and the relative benefits received, and must be allowable, reasonable, necessary, and allocable. Partners’ contributions must be periodically reviewed (i.e., monthly or quarterly) and reconciled against actual costs incurred, and adjusted to ensure that actual costs charged to </w:t>
      </w:r>
      <w:proofErr w:type="gramStart"/>
      <w:r>
        <w:rPr>
          <w:sz w:val="24"/>
        </w:rPr>
        <w:t>any one</w:t>
      </w:r>
      <w:proofErr w:type="gramEnd"/>
      <w:r>
        <w:rPr>
          <w:sz w:val="24"/>
        </w:rPr>
        <w:t>-stop partner are based on proportionate use and relative benefit received by the one-stop partner and its respect</w:t>
      </w:r>
      <w:r>
        <w:rPr>
          <w:sz w:val="24"/>
        </w:rPr>
        <w:t>ive program or activities.</w:t>
      </w:r>
    </w:p>
    <w:p w14:paraId="365A96E9" w14:textId="77777777" w:rsidR="00E41A5B" w:rsidRDefault="00DA7B02">
      <w:pPr>
        <w:pStyle w:val="ListParagraph"/>
        <w:numPr>
          <w:ilvl w:val="0"/>
          <w:numId w:val="18"/>
        </w:numPr>
        <w:tabs>
          <w:tab w:val="left" w:pos="2019"/>
        </w:tabs>
        <w:spacing w:before="275"/>
        <w:ind w:left="2019" w:right="1357"/>
        <w:rPr>
          <w:sz w:val="24"/>
        </w:rPr>
      </w:pPr>
      <w:r>
        <w:rPr>
          <w:sz w:val="24"/>
        </w:rPr>
        <w:t>WIOA does not include any caps on the amount or percentage of overall funding a one- stop partner may contribute to fund infrastructure costs under the LFM, except that each partner</w:t>
      </w:r>
      <w:r>
        <w:rPr>
          <w:spacing w:val="-2"/>
          <w:sz w:val="24"/>
        </w:rPr>
        <w:t xml:space="preserve"> </w:t>
      </w:r>
      <w:r>
        <w:rPr>
          <w:sz w:val="24"/>
        </w:rPr>
        <w:t>program’s contributions</w:t>
      </w:r>
      <w:r>
        <w:rPr>
          <w:spacing w:val="-1"/>
          <w:sz w:val="24"/>
        </w:rPr>
        <w:t xml:space="preserve"> </w:t>
      </w:r>
      <w:r>
        <w:rPr>
          <w:sz w:val="24"/>
        </w:rPr>
        <w:t>must</w:t>
      </w:r>
      <w:r>
        <w:rPr>
          <w:spacing w:val="-1"/>
          <w:sz w:val="24"/>
        </w:rPr>
        <w:t xml:space="preserve"> </w:t>
      </w:r>
      <w:r>
        <w:rPr>
          <w:sz w:val="24"/>
        </w:rPr>
        <w:t>be</w:t>
      </w:r>
      <w:r>
        <w:rPr>
          <w:spacing w:val="-2"/>
          <w:sz w:val="24"/>
        </w:rPr>
        <w:t xml:space="preserve"> </w:t>
      </w:r>
      <w:r>
        <w:rPr>
          <w:sz w:val="24"/>
        </w:rPr>
        <w:t>consistent</w:t>
      </w:r>
      <w:r>
        <w:rPr>
          <w:spacing w:val="-1"/>
          <w:sz w:val="24"/>
        </w:rPr>
        <w:t xml:space="preserve"> </w:t>
      </w:r>
      <w:r>
        <w:rPr>
          <w:sz w:val="24"/>
        </w:rPr>
        <w:t>with</w:t>
      </w:r>
      <w:r>
        <w:rPr>
          <w:spacing w:val="-1"/>
          <w:sz w:val="24"/>
        </w:rPr>
        <w:t xml:space="preserve"> </w:t>
      </w:r>
      <w:r>
        <w:rPr>
          <w:sz w:val="24"/>
        </w:rPr>
        <w:t>the</w:t>
      </w:r>
      <w:r>
        <w:rPr>
          <w:spacing w:val="-2"/>
          <w:sz w:val="24"/>
        </w:rPr>
        <w:t xml:space="preserve"> </w:t>
      </w:r>
      <w:r>
        <w:rPr>
          <w:sz w:val="24"/>
        </w:rPr>
        <w:t>program’s authorizing</w:t>
      </w:r>
      <w:r>
        <w:rPr>
          <w:spacing w:val="-3"/>
          <w:sz w:val="24"/>
        </w:rPr>
        <w:t xml:space="preserve"> </w:t>
      </w:r>
      <w:r>
        <w:rPr>
          <w:sz w:val="24"/>
        </w:rPr>
        <w:t xml:space="preserve">statute and regulations, as well as with the Uniform Guidance. Detailed guidance about which categories of funds programs can </w:t>
      </w:r>
      <w:proofErr w:type="gramStart"/>
      <w:r>
        <w:rPr>
          <w:sz w:val="24"/>
        </w:rPr>
        <w:t>use</w:t>
      </w:r>
      <w:proofErr w:type="gramEnd"/>
      <w:r>
        <w:rPr>
          <w:sz w:val="24"/>
        </w:rPr>
        <w:t xml:space="preserve"> is found above in section 5. The VR program does not distinguish between program or administrative funds. However, VR agencies must report contributions for infrastructure costs as administrative costs. Contributions from the AEFLA and Perkins IV programs must be from local administrative funds. Contributions made using administrative funds may not exceed the amount available for</w:t>
      </w:r>
      <w:r>
        <w:rPr>
          <w:sz w:val="24"/>
        </w:rPr>
        <w:t xml:space="preserve"> administrative</w:t>
      </w:r>
      <w:r>
        <w:rPr>
          <w:spacing w:val="19"/>
          <w:sz w:val="24"/>
        </w:rPr>
        <w:t xml:space="preserve"> </w:t>
      </w:r>
      <w:r>
        <w:rPr>
          <w:sz w:val="24"/>
        </w:rPr>
        <w:t>costs</w:t>
      </w:r>
      <w:r>
        <w:rPr>
          <w:spacing w:val="20"/>
          <w:sz w:val="24"/>
        </w:rPr>
        <w:t xml:space="preserve"> </w:t>
      </w:r>
      <w:r>
        <w:rPr>
          <w:sz w:val="24"/>
        </w:rPr>
        <w:t>under</w:t>
      </w:r>
      <w:r>
        <w:rPr>
          <w:spacing w:val="19"/>
          <w:sz w:val="24"/>
        </w:rPr>
        <w:t xml:space="preserve"> </w:t>
      </w:r>
      <w:r>
        <w:rPr>
          <w:sz w:val="24"/>
        </w:rPr>
        <w:t>the</w:t>
      </w:r>
      <w:r>
        <w:rPr>
          <w:spacing w:val="19"/>
          <w:sz w:val="24"/>
        </w:rPr>
        <w:t xml:space="preserve"> </w:t>
      </w:r>
      <w:r>
        <w:rPr>
          <w:sz w:val="24"/>
        </w:rPr>
        <w:t>authorizing</w:t>
      </w:r>
      <w:r>
        <w:rPr>
          <w:spacing w:val="18"/>
          <w:sz w:val="24"/>
        </w:rPr>
        <w:t xml:space="preserve"> </w:t>
      </w:r>
      <w:r>
        <w:rPr>
          <w:sz w:val="24"/>
        </w:rPr>
        <w:t>statute</w:t>
      </w:r>
      <w:r>
        <w:rPr>
          <w:spacing w:val="19"/>
          <w:sz w:val="24"/>
        </w:rPr>
        <w:t xml:space="preserve"> </w:t>
      </w:r>
      <w:r>
        <w:rPr>
          <w:sz w:val="24"/>
        </w:rPr>
        <w:t>or</w:t>
      </w:r>
      <w:r>
        <w:rPr>
          <w:spacing w:val="19"/>
          <w:sz w:val="24"/>
        </w:rPr>
        <w:t xml:space="preserve"> </w:t>
      </w:r>
      <w:r>
        <w:rPr>
          <w:sz w:val="24"/>
        </w:rPr>
        <w:t>regulations</w:t>
      </w:r>
      <w:r>
        <w:rPr>
          <w:spacing w:val="20"/>
          <w:sz w:val="24"/>
        </w:rPr>
        <w:t xml:space="preserve"> </w:t>
      </w:r>
      <w:r>
        <w:rPr>
          <w:sz w:val="24"/>
        </w:rPr>
        <w:t>of</w:t>
      </w:r>
      <w:r>
        <w:rPr>
          <w:spacing w:val="19"/>
          <w:sz w:val="24"/>
        </w:rPr>
        <w:t xml:space="preserve"> </w:t>
      </w:r>
      <w:r>
        <w:rPr>
          <w:sz w:val="24"/>
        </w:rPr>
        <w:t>the</w:t>
      </w:r>
      <w:r>
        <w:rPr>
          <w:spacing w:val="19"/>
          <w:sz w:val="24"/>
        </w:rPr>
        <w:t xml:space="preserve"> </w:t>
      </w:r>
      <w:r>
        <w:rPr>
          <w:sz w:val="24"/>
        </w:rPr>
        <w:t>partner</w:t>
      </w:r>
      <w:r>
        <w:rPr>
          <w:spacing w:val="19"/>
          <w:sz w:val="24"/>
        </w:rPr>
        <w:t xml:space="preserve"> </w:t>
      </w:r>
      <w:r>
        <w:rPr>
          <w:sz w:val="24"/>
        </w:rPr>
        <w:t>program.</w:t>
      </w:r>
    </w:p>
    <w:p w14:paraId="365A96EA" w14:textId="77777777" w:rsidR="00E41A5B" w:rsidRDefault="00E41A5B">
      <w:pPr>
        <w:jc w:val="both"/>
        <w:rPr>
          <w:sz w:val="24"/>
        </w:rPr>
        <w:sectPr w:rsidR="00E41A5B">
          <w:pgSz w:w="12240" w:h="15840"/>
          <w:pgMar w:top="1360" w:right="80" w:bottom="1540" w:left="140" w:header="0" w:footer="1345" w:gutter="0"/>
          <w:cols w:space="720"/>
        </w:sectPr>
      </w:pPr>
    </w:p>
    <w:p w14:paraId="365A96EB" w14:textId="799B0068" w:rsidR="00E41A5B" w:rsidRDefault="00DA7B02">
      <w:pPr>
        <w:pStyle w:val="BodyText"/>
        <w:spacing w:before="72"/>
        <w:ind w:left="2020" w:right="1358"/>
      </w:pPr>
      <w:r>
        <w:lastRenderedPageBreak/>
        <w:t>In addition, no partner may contribute more than its proportionate share based on relative benefit and use by</w:t>
      </w:r>
      <w:r>
        <w:rPr>
          <w:spacing w:val="-2"/>
        </w:rPr>
        <w:t xml:space="preserve"> </w:t>
      </w:r>
      <w:r>
        <w:t xml:space="preserve">the program, consistent with the Uniform Guidance set forth in 2 CFR part 200 (see 20 CFR </w:t>
      </w:r>
      <w:r w:rsidR="009148E4">
        <w:t>§§</w:t>
      </w:r>
      <w:r w:rsidR="009148E4">
        <w:t xml:space="preserve"> </w:t>
      </w:r>
      <w:r>
        <w:t>678.720, 34 CFR 361.720, and 34 CFR 463.720).</w:t>
      </w:r>
    </w:p>
    <w:p w14:paraId="365A96EC" w14:textId="77777777" w:rsidR="00E41A5B" w:rsidRDefault="00E41A5B">
      <w:pPr>
        <w:pStyle w:val="BodyText"/>
        <w:jc w:val="left"/>
      </w:pPr>
    </w:p>
    <w:p w14:paraId="365A96ED" w14:textId="77777777" w:rsidR="00E41A5B" w:rsidRDefault="00DA7B02">
      <w:pPr>
        <w:pStyle w:val="BodyText"/>
        <w:ind w:left="1300" w:right="1354"/>
      </w:pPr>
      <w:r>
        <w:rPr>
          <w:b/>
        </w:rPr>
        <w:t>State</w:t>
      </w:r>
      <w:r>
        <w:rPr>
          <w:b/>
          <w:spacing w:val="-2"/>
        </w:rPr>
        <w:t xml:space="preserve"> </w:t>
      </w:r>
      <w:r>
        <w:rPr>
          <w:b/>
        </w:rPr>
        <w:t>Funding</w:t>
      </w:r>
      <w:r>
        <w:rPr>
          <w:b/>
          <w:spacing w:val="-3"/>
        </w:rPr>
        <w:t xml:space="preserve"> </w:t>
      </w:r>
      <w:r>
        <w:rPr>
          <w:b/>
        </w:rPr>
        <w:t>Mechanism.</w:t>
      </w:r>
      <w:r>
        <w:rPr>
          <w:b/>
          <w:spacing w:val="-1"/>
        </w:rPr>
        <w:t xml:space="preserve"> </w:t>
      </w:r>
      <w:r>
        <w:t>Although</w:t>
      </w:r>
      <w:r>
        <w:rPr>
          <w:spacing w:val="-3"/>
        </w:rPr>
        <w:t xml:space="preserve"> </w:t>
      </w:r>
      <w:r>
        <w:t>the</w:t>
      </w:r>
      <w:r>
        <w:rPr>
          <w:spacing w:val="-4"/>
        </w:rPr>
        <w:t xml:space="preserve"> </w:t>
      </w:r>
      <w:r>
        <w:t>local</w:t>
      </w:r>
      <w:r>
        <w:rPr>
          <w:spacing w:val="-3"/>
        </w:rPr>
        <w:t xml:space="preserve"> </w:t>
      </w:r>
      <w:r>
        <w:t>one-stop</w:t>
      </w:r>
      <w:r>
        <w:rPr>
          <w:spacing w:val="-3"/>
        </w:rPr>
        <w:t xml:space="preserve"> </w:t>
      </w:r>
      <w:r>
        <w:t>operating</w:t>
      </w:r>
      <w:r>
        <w:rPr>
          <w:spacing w:val="-6"/>
        </w:rPr>
        <w:t xml:space="preserve"> </w:t>
      </w:r>
      <w:r>
        <w:t>budget</w:t>
      </w:r>
      <w:r>
        <w:rPr>
          <w:spacing w:val="-3"/>
        </w:rPr>
        <w:t xml:space="preserve"> </w:t>
      </w:r>
      <w:r>
        <w:t>contains</w:t>
      </w:r>
      <w:r>
        <w:rPr>
          <w:spacing w:val="-3"/>
        </w:rPr>
        <w:t xml:space="preserve"> </w:t>
      </w:r>
      <w:r>
        <w:t>different</w:t>
      </w:r>
      <w:r>
        <w:rPr>
          <w:spacing w:val="-3"/>
        </w:rPr>
        <w:t xml:space="preserve"> </w:t>
      </w:r>
      <w:r>
        <w:t>cost components, failure by only one of the required partners to reach consensus in a local area with respect</w:t>
      </w:r>
      <w:r>
        <w:rPr>
          <w:spacing w:val="-2"/>
        </w:rPr>
        <w:t xml:space="preserve"> </w:t>
      </w:r>
      <w:r>
        <w:t>to</w:t>
      </w:r>
      <w:r>
        <w:rPr>
          <w:spacing w:val="-2"/>
        </w:rPr>
        <w:t xml:space="preserve"> </w:t>
      </w:r>
      <w:r>
        <w:t>the</w:t>
      </w:r>
      <w:r>
        <w:rPr>
          <w:spacing w:val="-3"/>
        </w:rPr>
        <w:t xml:space="preserve"> </w:t>
      </w:r>
      <w:r>
        <w:t>infrastructure</w:t>
      </w:r>
      <w:r>
        <w:rPr>
          <w:spacing w:val="-3"/>
        </w:rPr>
        <w:t xml:space="preserve"> </w:t>
      </w:r>
      <w:r>
        <w:t>costs</w:t>
      </w:r>
      <w:r>
        <w:rPr>
          <w:spacing w:val="-2"/>
        </w:rPr>
        <w:t xml:space="preserve"> </w:t>
      </w:r>
      <w:r>
        <w:t>in</w:t>
      </w:r>
      <w:r>
        <w:rPr>
          <w:spacing w:val="-2"/>
        </w:rPr>
        <w:t xml:space="preserve"> </w:t>
      </w:r>
      <w:r>
        <w:t>the IFA</w:t>
      </w:r>
      <w:r>
        <w:rPr>
          <w:spacing w:val="-3"/>
        </w:rPr>
        <w:t xml:space="preserve"> </w:t>
      </w:r>
      <w:r>
        <w:t>will</w:t>
      </w:r>
      <w:r>
        <w:rPr>
          <w:spacing w:val="-2"/>
        </w:rPr>
        <w:t xml:space="preserve"> </w:t>
      </w:r>
      <w:r>
        <w:t>trigger</w:t>
      </w:r>
      <w:r>
        <w:rPr>
          <w:spacing w:val="-1"/>
        </w:rPr>
        <w:t xml:space="preserve"> </w:t>
      </w:r>
      <w:r>
        <w:t>implementation</w:t>
      </w:r>
      <w:r>
        <w:rPr>
          <w:spacing w:val="-2"/>
        </w:rPr>
        <w:t xml:space="preserve"> </w:t>
      </w:r>
      <w:r>
        <w:t>of</w:t>
      </w:r>
      <w:r>
        <w:rPr>
          <w:spacing w:val="-3"/>
        </w:rPr>
        <w:t xml:space="preserve"> </w:t>
      </w:r>
      <w:r>
        <w:t>the</w:t>
      </w:r>
      <w:r>
        <w:rPr>
          <w:spacing w:val="-3"/>
        </w:rPr>
        <w:t xml:space="preserve"> </w:t>
      </w:r>
      <w:r>
        <w:t>SFM.</w:t>
      </w:r>
      <w:r>
        <w:rPr>
          <w:spacing w:val="-2"/>
        </w:rPr>
        <w:t xml:space="preserve"> </w:t>
      </w:r>
      <w:r>
        <w:t>A</w:t>
      </w:r>
      <w:r>
        <w:rPr>
          <w:spacing w:val="-1"/>
        </w:rPr>
        <w:t xml:space="preserve"> </w:t>
      </w:r>
      <w:r>
        <w:t>failure</w:t>
      </w:r>
      <w:r>
        <w:rPr>
          <w:spacing w:val="-1"/>
        </w:rPr>
        <w:t xml:space="preserve"> </w:t>
      </w:r>
      <w:r>
        <w:t xml:space="preserve">by required partners to reach consensus on additional costs does not trigger </w:t>
      </w:r>
      <w:proofErr w:type="gramStart"/>
      <w:r>
        <w:t>the SFM</w:t>
      </w:r>
      <w:proofErr w:type="gramEnd"/>
      <w:r>
        <w:t xml:space="preserve">. If the LWDB and required one-stop partners fail to reach consensus on funding infrastructure costs under the LFM, as outlined above, this will trigger the SFM. Even if all required partners </w:t>
      </w:r>
      <w:r>
        <w:rPr>
          <w:i/>
        </w:rPr>
        <w:t xml:space="preserve">except one </w:t>
      </w:r>
      <w:r>
        <w:t>agree on the terms of the IFA, consensus is not reached, and the SFM is triggered.</w:t>
      </w:r>
    </w:p>
    <w:p w14:paraId="365A96EE" w14:textId="77777777" w:rsidR="00E41A5B" w:rsidRDefault="00E41A5B">
      <w:pPr>
        <w:pStyle w:val="BodyText"/>
        <w:jc w:val="left"/>
      </w:pPr>
    </w:p>
    <w:p w14:paraId="365A96EF" w14:textId="77777777" w:rsidR="00E41A5B" w:rsidRDefault="00DA7B02">
      <w:pPr>
        <w:pStyle w:val="BodyText"/>
        <w:ind w:left="1299" w:right="1359"/>
      </w:pPr>
      <w:r>
        <w:t>The</w:t>
      </w:r>
      <w:r>
        <w:rPr>
          <w:spacing w:val="-1"/>
        </w:rPr>
        <w:t xml:space="preserve"> </w:t>
      </w:r>
      <w:r>
        <w:t>SFM does not apply to additional partners and cannot be</w:t>
      </w:r>
      <w:r>
        <w:rPr>
          <w:spacing w:val="-1"/>
        </w:rPr>
        <w:t xml:space="preserve"> </w:t>
      </w:r>
      <w:r>
        <w:t>triggered by</w:t>
      </w:r>
      <w:r>
        <w:rPr>
          <w:spacing w:val="-2"/>
        </w:rPr>
        <w:t xml:space="preserve"> </w:t>
      </w:r>
      <w:r>
        <w:t>an additional partner’s disagreement on the terms of the IFA or their refusal to sign the IFA. While additional partners are not subject to the SFM, they still are required to contribute to one-stop infrastructure cost funding in accordance with the program’s proportionate use of the one-stop center and relative benefit received, consistent with the requirements for one-stop partner contributions in WIOA, the Joint WIOA Final Rule, and the Uniform Guidance at 2 CFR part 200.</w:t>
      </w:r>
    </w:p>
    <w:p w14:paraId="365A96F0" w14:textId="77777777" w:rsidR="00E41A5B" w:rsidRDefault="00E41A5B">
      <w:pPr>
        <w:pStyle w:val="BodyText"/>
        <w:jc w:val="left"/>
      </w:pPr>
    </w:p>
    <w:p w14:paraId="365A96F1" w14:textId="288DCC87" w:rsidR="00E41A5B" w:rsidRDefault="00DA7B02">
      <w:pPr>
        <w:pStyle w:val="BodyText"/>
        <w:ind w:left="1300" w:right="1357"/>
      </w:pPr>
      <w:r>
        <w:t xml:space="preserve">The SFM has eight discrete steps that must be followed by the Governor and LWDB in accordance with the statute and 20 CFR </w:t>
      </w:r>
      <w:r w:rsidR="009148E4">
        <w:t>§§</w:t>
      </w:r>
      <w:r w:rsidR="009148E4">
        <w:t xml:space="preserve"> </w:t>
      </w:r>
      <w:r>
        <w:t>678.730 through 678.750, 34 CFR 361.730 through 361.750, and 34 CFR 463.730 through 463.750. These steps are addressed in detail below.</w:t>
      </w:r>
    </w:p>
    <w:p w14:paraId="365A96F2" w14:textId="77777777" w:rsidR="00E41A5B" w:rsidRDefault="00E41A5B">
      <w:pPr>
        <w:pStyle w:val="BodyText"/>
        <w:jc w:val="left"/>
      </w:pPr>
    </w:p>
    <w:p w14:paraId="365A96F3" w14:textId="77777777" w:rsidR="00E41A5B" w:rsidRDefault="00DA7B02">
      <w:pPr>
        <w:pStyle w:val="BodyText"/>
        <w:ind w:left="1660" w:right="1356"/>
      </w:pPr>
      <w:r>
        <w:rPr>
          <w:b/>
        </w:rPr>
        <w:t xml:space="preserve">Step 1: Notice of failure to reach consensus given to the Governor. </w:t>
      </w:r>
      <w:r>
        <w:t>If the LWDB, local one-stop partners, and CEO(s) cannot reach consensus on methods of sufficiently funding a one-stop center’s infrastructure costs and the amounts to be contributed by each local partner program, the LWDB is required to notify the Governor. Notification must be given to the Governor by the specific date established in the Governor’s guidance on infrastructure funding. Because the SFM requires the Governor to make complex calculations and determinations and seek the counsel of multiple</w:t>
      </w:r>
      <w:r>
        <w:rPr>
          <w:spacing w:val="-1"/>
        </w:rPr>
        <w:t xml:space="preserve"> </w:t>
      </w:r>
      <w:r>
        <w:t>parties in doing so, it is strongly</w:t>
      </w:r>
      <w:r>
        <w:rPr>
          <w:spacing w:val="-2"/>
        </w:rPr>
        <w:t xml:space="preserve"> </w:t>
      </w:r>
      <w:r>
        <w:t>advised that this date be set at least a few months in advance of the beginning of the next Program Year (i.e., April or May for PY 2018 and those thereafter) in order to allow sufficient time for</w:t>
      </w:r>
      <w:r>
        <w:rPr>
          <w:spacing w:val="40"/>
        </w:rPr>
        <w:t xml:space="preserve"> </w:t>
      </w:r>
      <w:r>
        <w:t>these calculations and determinations to be completed well before the start of the program year for which infrastructure costs are being negotiated (see section 13 of this guidance for a discussion of the implementation timeline for PY 2017).</w:t>
      </w:r>
    </w:p>
    <w:p w14:paraId="365A96F4" w14:textId="77777777" w:rsidR="00E41A5B" w:rsidRDefault="00E41A5B">
      <w:pPr>
        <w:pStyle w:val="BodyText"/>
        <w:jc w:val="left"/>
      </w:pPr>
    </w:p>
    <w:p w14:paraId="365A96F5" w14:textId="77777777" w:rsidR="00E41A5B" w:rsidRDefault="00DA7B02">
      <w:pPr>
        <w:pStyle w:val="BodyText"/>
        <w:ind w:left="1660" w:right="1354"/>
      </w:pPr>
      <w:r>
        <w:rPr>
          <w:b/>
        </w:rPr>
        <w:t xml:space="preserve">Step 2: Local negotiation materials provided to the Governor. </w:t>
      </w:r>
      <w:proofErr w:type="gramStart"/>
      <w:r>
        <w:t>In order to</w:t>
      </w:r>
      <w:proofErr w:type="gramEnd"/>
      <w:r>
        <w:t xml:space="preserve"> assist the Governor in making these calculations and determinations, the LWDB must provide the appropriate and relevant materials and documents used in the negotiations under the LFM, preferably</w:t>
      </w:r>
      <w:r>
        <w:rPr>
          <w:spacing w:val="-2"/>
        </w:rPr>
        <w:t xml:space="preserve"> </w:t>
      </w:r>
      <w:r>
        <w:t>when notifying the Governor of the failure to reach consensus. At a minimum, the LWDB must give the Governor: (1) the local WIOA plan; (2) the cost allocation methodology or methodologies proposed by the partners to be used in determining the proportionate share; (3) the proposed amounts or budget to fund infrastructure costs and the amount of partner funds included; (4) the type of funds (cash, non-cash, and third-party in- kind</w:t>
      </w:r>
      <w:r>
        <w:rPr>
          <w:spacing w:val="35"/>
        </w:rPr>
        <w:t xml:space="preserve"> </w:t>
      </w:r>
      <w:r>
        <w:t>contributions)</w:t>
      </w:r>
      <w:r>
        <w:rPr>
          <w:spacing w:val="36"/>
        </w:rPr>
        <w:t xml:space="preserve"> </w:t>
      </w:r>
      <w:r>
        <w:t>available;</w:t>
      </w:r>
      <w:r>
        <w:rPr>
          <w:spacing w:val="38"/>
        </w:rPr>
        <w:t xml:space="preserve"> </w:t>
      </w:r>
      <w:r>
        <w:t>(5)</w:t>
      </w:r>
      <w:r>
        <w:rPr>
          <w:spacing w:val="39"/>
        </w:rPr>
        <w:t xml:space="preserve"> </w:t>
      </w:r>
      <w:r>
        <w:t>any</w:t>
      </w:r>
      <w:r>
        <w:rPr>
          <w:spacing w:val="32"/>
        </w:rPr>
        <w:t xml:space="preserve"> </w:t>
      </w:r>
      <w:r>
        <w:t>proposed</w:t>
      </w:r>
      <w:r>
        <w:rPr>
          <w:spacing w:val="40"/>
        </w:rPr>
        <w:t xml:space="preserve"> </w:t>
      </w:r>
      <w:r>
        <w:t>or</w:t>
      </w:r>
      <w:r>
        <w:rPr>
          <w:spacing w:val="36"/>
        </w:rPr>
        <w:t xml:space="preserve"> </w:t>
      </w:r>
      <w:r>
        <w:t>agreed</w:t>
      </w:r>
      <w:r>
        <w:rPr>
          <w:spacing w:val="37"/>
        </w:rPr>
        <w:t xml:space="preserve"> </w:t>
      </w:r>
      <w:r>
        <w:t>upon</w:t>
      </w:r>
      <w:r>
        <w:rPr>
          <w:spacing w:val="40"/>
        </w:rPr>
        <w:t xml:space="preserve"> </w:t>
      </w:r>
      <w:r>
        <w:t>one-stop</w:t>
      </w:r>
      <w:r>
        <w:rPr>
          <w:spacing w:val="39"/>
        </w:rPr>
        <w:t xml:space="preserve"> </w:t>
      </w:r>
      <w:r>
        <w:t>center</w:t>
      </w:r>
      <w:r>
        <w:rPr>
          <w:spacing w:val="36"/>
        </w:rPr>
        <w:t xml:space="preserve"> </w:t>
      </w:r>
      <w:r>
        <w:t>or</w:t>
      </w:r>
      <w:r>
        <w:rPr>
          <w:spacing w:val="37"/>
        </w:rPr>
        <w:t xml:space="preserve"> </w:t>
      </w:r>
      <w:r>
        <w:rPr>
          <w:spacing w:val="-2"/>
        </w:rPr>
        <w:t>system</w:t>
      </w:r>
    </w:p>
    <w:p w14:paraId="365A96F6" w14:textId="77777777" w:rsidR="00E41A5B" w:rsidRDefault="00E41A5B">
      <w:pPr>
        <w:sectPr w:rsidR="00E41A5B">
          <w:pgSz w:w="12240" w:h="15840"/>
          <w:pgMar w:top="1360" w:right="80" w:bottom="1540" w:left="140" w:header="0" w:footer="1345" w:gutter="0"/>
          <w:cols w:space="720"/>
        </w:sectPr>
      </w:pPr>
    </w:p>
    <w:p w14:paraId="365A96F7" w14:textId="77777777" w:rsidR="00E41A5B" w:rsidRDefault="00DA7B02">
      <w:pPr>
        <w:pStyle w:val="BodyText"/>
        <w:spacing w:before="72"/>
        <w:ind w:left="1660" w:right="1357"/>
        <w:jc w:val="left"/>
      </w:pPr>
      <w:r>
        <w:lastRenderedPageBreak/>
        <w:t>budget;</w:t>
      </w:r>
      <w:r>
        <w:rPr>
          <w:spacing w:val="27"/>
        </w:rPr>
        <w:t xml:space="preserve"> </w:t>
      </w:r>
      <w:r>
        <w:t>and</w:t>
      </w:r>
      <w:r>
        <w:rPr>
          <w:spacing w:val="24"/>
        </w:rPr>
        <w:t xml:space="preserve"> </w:t>
      </w:r>
      <w:r>
        <w:t>(6)</w:t>
      </w:r>
      <w:r>
        <w:rPr>
          <w:spacing w:val="26"/>
        </w:rPr>
        <w:t xml:space="preserve"> </w:t>
      </w:r>
      <w:r>
        <w:t>any partially</w:t>
      </w:r>
      <w:r>
        <w:rPr>
          <w:spacing w:val="22"/>
        </w:rPr>
        <w:t xml:space="preserve"> </w:t>
      </w:r>
      <w:r>
        <w:t>agreed</w:t>
      </w:r>
      <w:r>
        <w:rPr>
          <w:spacing w:val="24"/>
        </w:rPr>
        <w:t xml:space="preserve"> </w:t>
      </w:r>
      <w:r>
        <w:t>upon,</w:t>
      </w:r>
      <w:r>
        <w:rPr>
          <w:spacing w:val="24"/>
        </w:rPr>
        <w:t xml:space="preserve"> </w:t>
      </w:r>
      <w:r>
        <w:t>proposed,</w:t>
      </w:r>
      <w:r>
        <w:rPr>
          <w:spacing w:val="24"/>
        </w:rPr>
        <w:t xml:space="preserve"> </w:t>
      </w:r>
      <w:r>
        <w:t>or</w:t>
      </w:r>
      <w:r>
        <w:rPr>
          <w:spacing w:val="23"/>
        </w:rPr>
        <w:t xml:space="preserve"> </w:t>
      </w:r>
      <w:r>
        <w:t>draft</w:t>
      </w:r>
      <w:r>
        <w:rPr>
          <w:spacing w:val="28"/>
        </w:rPr>
        <w:t xml:space="preserve"> </w:t>
      </w:r>
      <w:r>
        <w:t>IFAs.</w:t>
      </w:r>
      <w:r>
        <w:rPr>
          <w:spacing w:val="24"/>
        </w:rPr>
        <w:t xml:space="preserve"> </w:t>
      </w:r>
      <w:r>
        <w:t>The</w:t>
      </w:r>
      <w:r>
        <w:rPr>
          <w:spacing w:val="28"/>
        </w:rPr>
        <w:t xml:space="preserve"> </w:t>
      </w:r>
      <w:r>
        <w:t>LWDBs</w:t>
      </w:r>
      <w:r>
        <w:rPr>
          <w:spacing w:val="27"/>
        </w:rPr>
        <w:t xml:space="preserve"> </w:t>
      </w:r>
      <w:r>
        <w:t>also</w:t>
      </w:r>
      <w:r>
        <w:rPr>
          <w:spacing w:val="24"/>
        </w:rPr>
        <w:t xml:space="preserve"> </w:t>
      </w:r>
      <w:r>
        <w:t>may give the Governor additional materials that they or the Governor find to be appropriate.</w:t>
      </w:r>
    </w:p>
    <w:p w14:paraId="365A96F8" w14:textId="77777777" w:rsidR="00E41A5B" w:rsidRDefault="00E41A5B">
      <w:pPr>
        <w:pStyle w:val="BodyText"/>
        <w:spacing w:before="4"/>
        <w:jc w:val="left"/>
      </w:pPr>
    </w:p>
    <w:p w14:paraId="365A96F9" w14:textId="77777777" w:rsidR="00E41A5B" w:rsidRDefault="00DA7B02">
      <w:pPr>
        <w:pStyle w:val="Heading3"/>
        <w:spacing w:before="1"/>
        <w:ind w:right="1359"/>
      </w:pPr>
      <w:r>
        <w:t>Note: The initial deadline to notify the Governor should the LWDB local one-stop partners &amp;</w:t>
      </w:r>
      <w:r>
        <w:t xml:space="preserve"> CEOs fail to reach a consensus</w:t>
      </w:r>
      <w:r>
        <w:rPr>
          <w:spacing w:val="40"/>
        </w:rPr>
        <w:t xml:space="preserve"> </w:t>
      </w:r>
      <w:r>
        <w:t xml:space="preserve">on methods of funding infrastructure costs is November 1, </w:t>
      </w:r>
      <w:proofErr w:type="gramStart"/>
      <w:r>
        <w:t>2017</w:t>
      </w:r>
      <w:proofErr w:type="gramEnd"/>
      <w:r>
        <w:t xml:space="preserve"> and each subsequent negotiated year</w:t>
      </w:r>
      <w:r>
        <w:rPr>
          <w:spacing w:val="40"/>
        </w:rPr>
        <w:t xml:space="preserve"> </w:t>
      </w:r>
      <w:r>
        <w:t>on April 1.</w:t>
      </w:r>
    </w:p>
    <w:p w14:paraId="365A96FA" w14:textId="77777777" w:rsidR="00E41A5B" w:rsidRDefault="00DA7B02">
      <w:pPr>
        <w:pStyle w:val="BodyText"/>
        <w:spacing w:before="271"/>
        <w:ind w:left="1659" w:right="1356"/>
        <w:jc w:val="left"/>
      </w:pPr>
      <w:r>
        <w:rPr>
          <w:b/>
        </w:rPr>
        <w:t>Step</w:t>
      </w:r>
      <w:r>
        <w:rPr>
          <w:b/>
          <w:spacing w:val="80"/>
        </w:rPr>
        <w:t xml:space="preserve"> </w:t>
      </w:r>
      <w:r>
        <w:rPr>
          <w:b/>
        </w:rPr>
        <w:t>3:</w:t>
      </w:r>
      <w:r>
        <w:rPr>
          <w:b/>
          <w:spacing w:val="80"/>
        </w:rPr>
        <w:t xml:space="preserve"> </w:t>
      </w:r>
      <w:r>
        <w:rPr>
          <w:b/>
        </w:rPr>
        <w:t>The</w:t>
      </w:r>
      <w:r>
        <w:rPr>
          <w:b/>
          <w:spacing w:val="80"/>
        </w:rPr>
        <w:t xml:space="preserve"> </w:t>
      </w:r>
      <w:r>
        <w:rPr>
          <w:b/>
        </w:rPr>
        <w:t>Governor</w:t>
      </w:r>
      <w:r>
        <w:rPr>
          <w:b/>
          <w:spacing w:val="80"/>
        </w:rPr>
        <w:t xml:space="preserve"> </w:t>
      </w:r>
      <w:r>
        <w:rPr>
          <w:b/>
        </w:rPr>
        <w:t>determines</w:t>
      </w:r>
      <w:r>
        <w:rPr>
          <w:b/>
          <w:spacing w:val="80"/>
        </w:rPr>
        <w:t xml:space="preserve"> </w:t>
      </w:r>
      <w:r>
        <w:rPr>
          <w:b/>
        </w:rPr>
        <w:t>one-stop</w:t>
      </w:r>
      <w:r>
        <w:rPr>
          <w:b/>
          <w:spacing w:val="80"/>
        </w:rPr>
        <w:t xml:space="preserve"> </w:t>
      </w:r>
      <w:r>
        <w:rPr>
          <w:b/>
        </w:rPr>
        <w:t>center</w:t>
      </w:r>
      <w:r>
        <w:rPr>
          <w:b/>
          <w:spacing w:val="80"/>
        </w:rPr>
        <w:t xml:space="preserve"> </w:t>
      </w:r>
      <w:r>
        <w:rPr>
          <w:b/>
        </w:rPr>
        <w:t>infrastructure</w:t>
      </w:r>
      <w:r>
        <w:rPr>
          <w:b/>
          <w:spacing w:val="80"/>
        </w:rPr>
        <w:t xml:space="preserve"> </w:t>
      </w:r>
      <w:r>
        <w:rPr>
          <w:b/>
        </w:rPr>
        <w:t>budget(s).</w:t>
      </w:r>
      <w:r>
        <w:rPr>
          <w:b/>
          <w:spacing w:val="80"/>
        </w:rPr>
        <w:t xml:space="preserve"> </w:t>
      </w:r>
      <w:r>
        <w:t>The Governor</w:t>
      </w:r>
      <w:r>
        <w:rPr>
          <w:spacing w:val="40"/>
        </w:rPr>
        <w:t xml:space="preserve"> </w:t>
      </w:r>
      <w:r>
        <w:t>must</w:t>
      </w:r>
      <w:r>
        <w:rPr>
          <w:spacing w:val="40"/>
        </w:rPr>
        <w:t xml:space="preserve"> </w:t>
      </w:r>
      <w:r>
        <w:t>determine</w:t>
      </w:r>
      <w:r>
        <w:rPr>
          <w:spacing w:val="40"/>
        </w:rPr>
        <w:t xml:space="preserve"> </w:t>
      </w:r>
      <w:r>
        <w:t>the</w:t>
      </w:r>
      <w:r>
        <w:rPr>
          <w:spacing w:val="40"/>
        </w:rPr>
        <w:t xml:space="preserve"> </w:t>
      </w:r>
      <w:r>
        <w:t>infrastructure</w:t>
      </w:r>
      <w:r>
        <w:rPr>
          <w:spacing w:val="40"/>
        </w:rPr>
        <w:t xml:space="preserve"> </w:t>
      </w:r>
      <w:r>
        <w:t>budget(s).</w:t>
      </w:r>
      <w:r>
        <w:rPr>
          <w:spacing w:val="40"/>
        </w:rPr>
        <w:t xml:space="preserve"> </w:t>
      </w:r>
      <w:r>
        <w:t>Depending</w:t>
      </w:r>
      <w:r>
        <w:rPr>
          <w:spacing w:val="40"/>
        </w:rPr>
        <w:t xml:space="preserve"> </w:t>
      </w:r>
      <w:r>
        <w:t>on</w:t>
      </w:r>
      <w:r>
        <w:rPr>
          <w:spacing w:val="40"/>
        </w:rPr>
        <w:t xml:space="preserve"> </w:t>
      </w:r>
      <w:r>
        <w:t>the</w:t>
      </w:r>
      <w:r>
        <w:rPr>
          <w:spacing w:val="40"/>
        </w:rPr>
        <w:t xml:space="preserve"> </w:t>
      </w:r>
      <w:r>
        <w:t>local</w:t>
      </w:r>
      <w:r>
        <w:rPr>
          <w:spacing w:val="40"/>
        </w:rPr>
        <w:t xml:space="preserve"> </w:t>
      </w:r>
      <w:r>
        <w:t>delivery</w:t>
      </w:r>
      <w:r>
        <w:rPr>
          <w:spacing w:val="40"/>
        </w:rPr>
        <w:t xml:space="preserve"> </w:t>
      </w:r>
      <w:r>
        <w:t>system</w:t>
      </w:r>
      <w:r>
        <w:rPr>
          <w:spacing w:val="67"/>
        </w:rPr>
        <w:t xml:space="preserve"> </w:t>
      </w:r>
      <w:r>
        <w:t>structure,</w:t>
      </w:r>
      <w:r>
        <w:rPr>
          <w:spacing w:val="66"/>
        </w:rPr>
        <w:t xml:space="preserve"> </w:t>
      </w:r>
      <w:r>
        <w:t>there</w:t>
      </w:r>
      <w:r>
        <w:rPr>
          <w:spacing w:val="65"/>
        </w:rPr>
        <w:t xml:space="preserve"> </w:t>
      </w:r>
      <w:r>
        <w:t>may</w:t>
      </w:r>
      <w:r>
        <w:rPr>
          <w:spacing w:val="40"/>
        </w:rPr>
        <w:t xml:space="preserve"> </w:t>
      </w:r>
      <w:r>
        <w:t>be</w:t>
      </w:r>
      <w:r>
        <w:rPr>
          <w:spacing w:val="65"/>
        </w:rPr>
        <w:t xml:space="preserve"> </w:t>
      </w:r>
      <w:r>
        <w:t>more</w:t>
      </w:r>
      <w:r>
        <w:rPr>
          <w:spacing w:val="65"/>
        </w:rPr>
        <w:t xml:space="preserve"> </w:t>
      </w:r>
      <w:r>
        <w:t>than</w:t>
      </w:r>
      <w:r>
        <w:rPr>
          <w:spacing w:val="66"/>
        </w:rPr>
        <w:t xml:space="preserve"> </w:t>
      </w:r>
      <w:r>
        <w:t>one</w:t>
      </w:r>
      <w:r>
        <w:rPr>
          <w:spacing w:val="68"/>
        </w:rPr>
        <w:t xml:space="preserve"> </w:t>
      </w:r>
      <w:r>
        <w:t>infrastructure</w:t>
      </w:r>
      <w:r>
        <w:rPr>
          <w:spacing w:val="65"/>
        </w:rPr>
        <w:t xml:space="preserve"> </w:t>
      </w:r>
      <w:r>
        <w:t>budget,</w:t>
      </w:r>
      <w:r>
        <w:rPr>
          <w:spacing w:val="66"/>
        </w:rPr>
        <w:t xml:space="preserve"> </w:t>
      </w:r>
      <w:r>
        <w:t>each</w:t>
      </w:r>
      <w:r>
        <w:rPr>
          <w:spacing w:val="66"/>
        </w:rPr>
        <w:t xml:space="preserve"> </w:t>
      </w:r>
      <w:r>
        <w:t>of</w:t>
      </w:r>
      <w:r>
        <w:rPr>
          <w:spacing w:val="65"/>
        </w:rPr>
        <w:t xml:space="preserve"> </w:t>
      </w:r>
      <w:r>
        <w:t>which</w:t>
      </w:r>
      <w:r>
        <w:rPr>
          <w:spacing w:val="66"/>
        </w:rPr>
        <w:t xml:space="preserve"> </w:t>
      </w:r>
      <w:r>
        <w:t xml:space="preserve">is contained in a one-stop operating budget. While the Governor should </w:t>
      </w:r>
      <w:proofErr w:type="gramStart"/>
      <w:r>
        <w:t>take into account</w:t>
      </w:r>
      <w:proofErr w:type="gramEnd"/>
      <w:r>
        <w:t xml:space="preserve"> the</w:t>
      </w:r>
      <w:r>
        <w:rPr>
          <w:spacing w:val="80"/>
        </w:rPr>
        <w:t xml:space="preserve"> </w:t>
      </w:r>
      <w:r>
        <w:t>one-stop</w:t>
      </w:r>
      <w:r>
        <w:rPr>
          <w:spacing w:val="40"/>
        </w:rPr>
        <w:t xml:space="preserve"> </w:t>
      </w:r>
      <w:r>
        <w:t>center’s</w:t>
      </w:r>
      <w:r>
        <w:rPr>
          <w:spacing w:val="40"/>
        </w:rPr>
        <w:t xml:space="preserve"> </w:t>
      </w:r>
      <w:r>
        <w:t>operating</w:t>
      </w:r>
      <w:r>
        <w:rPr>
          <w:spacing w:val="40"/>
        </w:rPr>
        <w:t xml:space="preserve"> </w:t>
      </w:r>
      <w:r>
        <w:t>budget,</w:t>
      </w:r>
      <w:r>
        <w:rPr>
          <w:spacing w:val="40"/>
        </w:rPr>
        <w:t xml:space="preserve"> </w:t>
      </w:r>
      <w:r>
        <w:t>the</w:t>
      </w:r>
      <w:r>
        <w:rPr>
          <w:spacing w:val="40"/>
        </w:rPr>
        <w:t xml:space="preserve"> </w:t>
      </w:r>
      <w:r>
        <w:t>Governor</w:t>
      </w:r>
      <w:r>
        <w:rPr>
          <w:spacing w:val="40"/>
        </w:rPr>
        <w:t xml:space="preserve"> </w:t>
      </w:r>
      <w:r>
        <w:t>only</w:t>
      </w:r>
      <w:r>
        <w:rPr>
          <w:spacing w:val="40"/>
        </w:rPr>
        <w:t xml:space="preserve"> </w:t>
      </w:r>
      <w:r>
        <w:t>has</w:t>
      </w:r>
      <w:r>
        <w:rPr>
          <w:spacing w:val="40"/>
        </w:rPr>
        <w:t xml:space="preserve"> </w:t>
      </w:r>
      <w:r>
        <w:t>the</w:t>
      </w:r>
      <w:r>
        <w:rPr>
          <w:spacing w:val="40"/>
        </w:rPr>
        <w:t xml:space="preserve"> </w:t>
      </w:r>
      <w:r>
        <w:t>power</w:t>
      </w:r>
      <w:r>
        <w:rPr>
          <w:spacing w:val="40"/>
        </w:rPr>
        <w:t xml:space="preserve"> </w:t>
      </w:r>
      <w:r>
        <w:t>to</w:t>
      </w:r>
      <w:r>
        <w:rPr>
          <w:spacing w:val="40"/>
        </w:rPr>
        <w:t xml:space="preserve"> </w:t>
      </w:r>
      <w:r>
        <w:t>determine</w:t>
      </w:r>
      <w:r>
        <w:rPr>
          <w:spacing w:val="40"/>
        </w:rPr>
        <w:t xml:space="preserve"> </w:t>
      </w:r>
      <w:r>
        <w:t>the</w:t>
      </w:r>
      <w:r>
        <w:rPr>
          <w:spacing w:val="80"/>
        </w:rPr>
        <w:t xml:space="preserve"> </w:t>
      </w:r>
      <w:r>
        <w:t>infrastructure budget under the SFM. The Governor must determine the infrastructure budget in</w:t>
      </w:r>
      <w:r>
        <w:rPr>
          <w:spacing w:val="-1"/>
        </w:rPr>
        <w:t xml:space="preserve"> </w:t>
      </w:r>
      <w:r>
        <w:t>one</w:t>
      </w:r>
      <w:r>
        <w:rPr>
          <w:spacing w:val="-1"/>
        </w:rPr>
        <w:t xml:space="preserve"> </w:t>
      </w:r>
      <w:proofErr w:type="gramStart"/>
      <w:r>
        <w:t>of</w:t>
      </w:r>
      <w:proofErr w:type="gramEnd"/>
      <w:r>
        <w:rPr>
          <w:spacing w:val="-1"/>
        </w:rPr>
        <w:t xml:space="preserve"> </w:t>
      </w:r>
      <w:r>
        <w:t>two</w:t>
      </w:r>
      <w:r>
        <w:rPr>
          <w:spacing w:val="-1"/>
        </w:rPr>
        <w:t xml:space="preserve"> </w:t>
      </w:r>
      <w:r>
        <w:t>ways. If,</w:t>
      </w:r>
      <w:r>
        <w:rPr>
          <w:spacing w:val="-1"/>
        </w:rPr>
        <w:t xml:space="preserve"> </w:t>
      </w:r>
      <w:r>
        <w:t>as a</w:t>
      </w:r>
      <w:r>
        <w:rPr>
          <w:spacing w:val="-1"/>
        </w:rPr>
        <w:t xml:space="preserve"> </w:t>
      </w:r>
      <w:r>
        <w:t>result</w:t>
      </w:r>
      <w:r>
        <w:rPr>
          <w:spacing w:val="-1"/>
        </w:rPr>
        <w:t xml:space="preserve"> </w:t>
      </w:r>
      <w:r>
        <w:t>of</w:t>
      </w:r>
      <w:r>
        <w:rPr>
          <w:spacing w:val="-1"/>
        </w:rPr>
        <w:t xml:space="preserve"> </w:t>
      </w:r>
      <w:r>
        <w:t>an</w:t>
      </w:r>
      <w:r>
        <w:rPr>
          <w:spacing w:val="-1"/>
        </w:rPr>
        <w:t xml:space="preserve"> </w:t>
      </w:r>
      <w:r>
        <w:t>agreed</w:t>
      </w:r>
      <w:r>
        <w:rPr>
          <w:spacing w:val="-1"/>
        </w:rPr>
        <w:t xml:space="preserve"> </w:t>
      </w:r>
      <w:r>
        <w:t>upon</w:t>
      </w:r>
      <w:r>
        <w:rPr>
          <w:spacing w:val="-1"/>
        </w:rPr>
        <w:t xml:space="preserve"> </w:t>
      </w:r>
      <w:r>
        <w:t>infrastructure</w:t>
      </w:r>
      <w:r>
        <w:rPr>
          <w:spacing w:val="-1"/>
        </w:rPr>
        <w:t xml:space="preserve"> </w:t>
      </w:r>
      <w:r>
        <w:t>budget,</w:t>
      </w:r>
      <w:r>
        <w:rPr>
          <w:spacing w:val="-1"/>
        </w:rPr>
        <w:t xml:space="preserve"> </w:t>
      </w:r>
      <w:r>
        <w:t>only</w:t>
      </w:r>
      <w:r>
        <w:rPr>
          <w:spacing w:val="-5"/>
        </w:rPr>
        <w:t xml:space="preserve"> </w:t>
      </w:r>
      <w:r>
        <w:t>the</w:t>
      </w:r>
      <w:r>
        <w:rPr>
          <w:spacing w:val="-1"/>
        </w:rPr>
        <w:t xml:space="preserve"> </w:t>
      </w:r>
      <w:r>
        <w:t>individual programmatic</w:t>
      </w:r>
      <w:r>
        <w:rPr>
          <w:spacing w:val="39"/>
        </w:rPr>
        <w:t xml:space="preserve"> </w:t>
      </w:r>
      <w:r>
        <w:t>contributions</w:t>
      </w:r>
      <w:r>
        <w:rPr>
          <w:spacing w:val="40"/>
        </w:rPr>
        <w:t xml:space="preserve"> </w:t>
      </w:r>
      <w:r>
        <w:t>to</w:t>
      </w:r>
      <w:r>
        <w:rPr>
          <w:spacing w:val="40"/>
        </w:rPr>
        <w:t xml:space="preserve"> </w:t>
      </w:r>
      <w:r>
        <w:t>infrastructure</w:t>
      </w:r>
      <w:r>
        <w:rPr>
          <w:spacing w:val="39"/>
        </w:rPr>
        <w:t xml:space="preserve"> </w:t>
      </w:r>
      <w:r>
        <w:t>funding</w:t>
      </w:r>
      <w:r>
        <w:rPr>
          <w:spacing w:val="37"/>
        </w:rPr>
        <w:t xml:space="preserve"> </w:t>
      </w:r>
      <w:r>
        <w:t>based</w:t>
      </w:r>
      <w:r>
        <w:rPr>
          <w:spacing w:val="40"/>
        </w:rPr>
        <w:t xml:space="preserve"> </w:t>
      </w:r>
      <w:r>
        <w:t>upon</w:t>
      </w:r>
      <w:r>
        <w:rPr>
          <w:spacing w:val="40"/>
        </w:rPr>
        <w:t xml:space="preserve"> </w:t>
      </w:r>
      <w:r>
        <w:t>proportionate</w:t>
      </w:r>
      <w:r>
        <w:rPr>
          <w:spacing w:val="39"/>
        </w:rPr>
        <w:t xml:space="preserve"> </w:t>
      </w:r>
      <w:r>
        <w:t>use</w:t>
      </w:r>
      <w:r>
        <w:rPr>
          <w:spacing w:val="39"/>
        </w:rPr>
        <w:t xml:space="preserve"> </w:t>
      </w:r>
      <w:r>
        <w:t>of</w:t>
      </w:r>
      <w:r>
        <w:rPr>
          <w:spacing w:val="39"/>
        </w:rPr>
        <w:t xml:space="preserve"> </w:t>
      </w:r>
      <w:r>
        <w:t>the one-stop</w:t>
      </w:r>
      <w:r>
        <w:rPr>
          <w:spacing w:val="40"/>
        </w:rPr>
        <w:t xml:space="preserve"> </w:t>
      </w:r>
      <w:r>
        <w:t>centers</w:t>
      </w:r>
      <w:r>
        <w:rPr>
          <w:spacing w:val="40"/>
        </w:rPr>
        <w:t xml:space="preserve"> </w:t>
      </w:r>
      <w:r>
        <w:t>and</w:t>
      </w:r>
      <w:r>
        <w:rPr>
          <w:spacing w:val="40"/>
        </w:rPr>
        <w:t xml:space="preserve"> </w:t>
      </w:r>
      <w:r>
        <w:t>relative</w:t>
      </w:r>
      <w:r>
        <w:rPr>
          <w:spacing w:val="40"/>
        </w:rPr>
        <w:t xml:space="preserve"> </w:t>
      </w:r>
      <w:r>
        <w:t>benefit</w:t>
      </w:r>
      <w:r>
        <w:rPr>
          <w:spacing w:val="40"/>
        </w:rPr>
        <w:t xml:space="preserve"> </w:t>
      </w:r>
      <w:r>
        <w:t>received</w:t>
      </w:r>
      <w:r>
        <w:rPr>
          <w:spacing w:val="40"/>
        </w:rPr>
        <w:t xml:space="preserve"> </w:t>
      </w:r>
      <w:r>
        <w:t>are</w:t>
      </w:r>
      <w:r>
        <w:rPr>
          <w:spacing w:val="40"/>
        </w:rPr>
        <w:t xml:space="preserve"> </w:t>
      </w:r>
      <w:r>
        <w:t>at</w:t>
      </w:r>
      <w:r>
        <w:rPr>
          <w:spacing w:val="40"/>
        </w:rPr>
        <w:t xml:space="preserve"> </w:t>
      </w:r>
      <w:r>
        <w:t>issue,</w:t>
      </w:r>
      <w:r>
        <w:rPr>
          <w:spacing w:val="40"/>
        </w:rPr>
        <w:t xml:space="preserve"> </w:t>
      </w:r>
      <w:r>
        <w:t>the</w:t>
      </w:r>
      <w:r>
        <w:rPr>
          <w:spacing w:val="40"/>
        </w:rPr>
        <w:t xml:space="preserve"> </w:t>
      </w:r>
      <w:r>
        <w:t>Governor</w:t>
      </w:r>
      <w:r>
        <w:rPr>
          <w:spacing w:val="40"/>
        </w:rPr>
        <w:t xml:space="preserve"> </w:t>
      </w:r>
      <w:r>
        <w:t>may</w:t>
      </w:r>
      <w:r>
        <w:rPr>
          <w:spacing w:val="40"/>
        </w:rPr>
        <w:t xml:space="preserve"> </w:t>
      </w:r>
      <w:r>
        <w:t>accept</w:t>
      </w:r>
      <w:r>
        <w:rPr>
          <w:spacing w:val="40"/>
        </w:rPr>
        <w:t xml:space="preserve"> </w:t>
      </w:r>
      <w:r>
        <w:t>the infrastructure budget, from which the Governor must calculate each partner’s contribution consistent</w:t>
      </w:r>
      <w:r>
        <w:rPr>
          <w:spacing w:val="30"/>
        </w:rPr>
        <w:t xml:space="preserve"> </w:t>
      </w:r>
      <w:r>
        <w:t>with</w:t>
      </w:r>
      <w:r>
        <w:rPr>
          <w:spacing w:val="29"/>
        </w:rPr>
        <w:t xml:space="preserve"> </w:t>
      </w:r>
      <w:r>
        <w:t>the</w:t>
      </w:r>
      <w:r>
        <w:rPr>
          <w:spacing w:val="28"/>
        </w:rPr>
        <w:t xml:space="preserve"> </w:t>
      </w:r>
      <w:r>
        <w:t>cost</w:t>
      </w:r>
      <w:r>
        <w:rPr>
          <w:spacing w:val="27"/>
        </w:rPr>
        <w:t xml:space="preserve"> </w:t>
      </w:r>
      <w:r>
        <w:t>allocation</w:t>
      </w:r>
      <w:r>
        <w:rPr>
          <w:spacing w:val="29"/>
        </w:rPr>
        <w:t xml:space="preserve"> </w:t>
      </w:r>
      <w:r>
        <w:t>methodologies</w:t>
      </w:r>
      <w:r>
        <w:rPr>
          <w:spacing w:val="32"/>
        </w:rPr>
        <w:t xml:space="preserve"> </w:t>
      </w:r>
      <w:r>
        <w:t>contained</w:t>
      </w:r>
      <w:r>
        <w:rPr>
          <w:spacing w:val="29"/>
        </w:rPr>
        <w:t xml:space="preserve"> </w:t>
      </w:r>
      <w:r>
        <w:t>in</w:t>
      </w:r>
      <w:r>
        <w:rPr>
          <w:spacing w:val="29"/>
        </w:rPr>
        <w:t xml:space="preserve"> </w:t>
      </w:r>
      <w:r>
        <w:t>the</w:t>
      </w:r>
      <w:r>
        <w:rPr>
          <w:spacing w:val="28"/>
        </w:rPr>
        <w:t xml:space="preserve"> </w:t>
      </w:r>
      <w:r>
        <w:t>Uniform</w:t>
      </w:r>
      <w:r>
        <w:rPr>
          <w:spacing w:val="30"/>
        </w:rPr>
        <w:t xml:space="preserve"> </w:t>
      </w:r>
      <w:r>
        <w:t>Guidance.</w:t>
      </w:r>
      <w:r>
        <w:rPr>
          <w:spacing w:val="29"/>
        </w:rPr>
        <w:t xml:space="preserve"> </w:t>
      </w:r>
      <w:r>
        <w:t>We recommend that the Governor utilize this course of action if it is available.</w:t>
      </w:r>
    </w:p>
    <w:p w14:paraId="365A96FB" w14:textId="639C5075" w:rsidR="00E41A5B" w:rsidRDefault="00DA7B02">
      <w:pPr>
        <w:pStyle w:val="BodyText"/>
        <w:spacing w:before="264"/>
        <w:ind w:left="1659" w:right="1356"/>
      </w:pPr>
      <w:r>
        <w:t>If; however, an infrastructure budget or budgets were not agreed upon in the local negotiations, or the Governor determines that the agreed upon budget does not adequately meet the needs of the local area or does not reasonably work within the confines of the resources</w:t>
      </w:r>
      <w:r>
        <w:rPr>
          <w:spacing w:val="-1"/>
        </w:rPr>
        <w:t xml:space="preserve"> </w:t>
      </w:r>
      <w:r>
        <w:t>available</w:t>
      </w:r>
      <w:r>
        <w:rPr>
          <w:spacing w:val="-2"/>
        </w:rPr>
        <w:t xml:space="preserve"> </w:t>
      </w:r>
      <w:r>
        <w:t>to</w:t>
      </w:r>
      <w:r>
        <w:rPr>
          <w:spacing w:val="-1"/>
        </w:rPr>
        <w:t xml:space="preserve"> </w:t>
      </w:r>
      <w:r>
        <w:t>that</w:t>
      </w:r>
      <w:r>
        <w:rPr>
          <w:spacing w:val="-1"/>
        </w:rPr>
        <w:t xml:space="preserve"> </w:t>
      </w:r>
      <w:r>
        <w:t>local</w:t>
      </w:r>
      <w:r>
        <w:rPr>
          <w:spacing w:val="-1"/>
        </w:rPr>
        <w:t xml:space="preserve"> </w:t>
      </w:r>
      <w:r>
        <w:t>area</w:t>
      </w:r>
      <w:r>
        <w:rPr>
          <w:spacing w:val="-2"/>
        </w:rPr>
        <w:t xml:space="preserve"> </w:t>
      </w:r>
      <w:r>
        <w:t>in</w:t>
      </w:r>
      <w:r>
        <w:rPr>
          <w:spacing w:val="-1"/>
        </w:rPr>
        <w:t xml:space="preserve"> </w:t>
      </w:r>
      <w:r>
        <w:t>accordance with</w:t>
      </w:r>
      <w:r>
        <w:rPr>
          <w:spacing w:val="-1"/>
        </w:rPr>
        <w:t xml:space="preserve"> </w:t>
      </w:r>
      <w:r>
        <w:t>the</w:t>
      </w:r>
      <w:r>
        <w:rPr>
          <w:spacing w:val="-2"/>
        </w:rPr>
        <w:t xml:space="preserve"> </w:t>
      </w:r>
      <w:r>
        <w:t>Governor’s</w:t>
      </w:r>
      <w:r>
        <w:rPr>
          <w:spacing w:val="-1"/>
        </w:rPr>
        <w:t xml:space="preserve"> </w:t>
      </w:r>
      <w:r>
        <w:t>guidance</w:t>
      </w:r>
      <w:r>
        <w:rPr>
          <w:spacing w:val="-2"/>
        </w:rPr>
        <w:t xml:space="preserve"> </w:t>
      </w:r>
      <w:r>
        <w:t>on</w:t>
      </w:r>
      <w:r>
        <w:rPr>
          <w:spacing w:val="-1"/>
        </w:rPr>
        <w:t xml:space="preserve"> </w:t>
      </w:r>
      <w:r>
        <w:t>one-stop infrastructure funding, then the Governor must use a formula approved by the Governor’s Workforce Development Board (GWDB). This formula must identify the factors, as well as each factor’s corresponding weight, that the Governor must use in determining the one-stop center infrastructure budget. At a minimum, these factors must include: (1) the number of one-stop centers in a local area; (2) the total population served by such centers; (3) the services provided by such centers; and (4) any factors r</w:t>
      </w:r>
      <w:r>
        <w:t xml:space="preserve">elating to the operations of such centers in the local area that the GWDB determines are appropriate (20 CFR </w:t>
      </w:r>
      <w:r w:rsidR="009148E4">
        <w:t>§§</w:t>
      </w:r>
      <w:r w:rsidR="009148E4">
        <w:t xml:space="preserve"> </w:t>
      </w:r>
      <w:r>
        <w:t>678.745, 34 CFR 361.745, and 34 CFR 463.745).</w:t>
      </w:r>
    </w:p>
    <w:p w14:paraId="365A96FC" w14:textId="77777777" w:rsidR="00E41A5B" w:rsidRDefault="00E41A5B">
      <w:pPr>
        <w:pStyle w:val="BodyText"/>
        <w:spacing w:before="5"/>
        <w:jc w:val="left"/>
      </w:pPr>
    </w:p>
    <w:p w14:paraId="365A96FD" w14:textId="77777777" w:rsidR="00E41A5B" w:rsidRDefault="00DA7B02">
      <w:pPr>
        <w:pStyle w:val="Heading3"/>
      </w:pPr>
      <w:r>
        <w:t xml:space="preserve">Note: DETR </w:t>
      </w:r>
      <w:proofErr w:type="spellStart"/>
      <w:r>
        <w:t>Finacial</w:t>
      </w:r>
      <w:proofErr w:type="spellEnd"/>
      <w:r>
        <w:t xml:space="preserve"> Management</w:t>
      </w:r>
      <w:r>
        <w:rPr>
          <w:spacing w:val="40"/>
        </w:rPr>
        <w:t xml:space="preserve"> </w:t>
      </w:r>
      <w:r>
        <w:t>(DETR FM) will represent the Governor in preparing a</w:t>
      </w:r>
      <w:r>
        <w:t xml:space="preserve"> budget for the Local Area should SFM become necessary.</w:t>
      </w:r>
    </w:p>
    <w:p w14:paraId="365A96FE" w14:textId="77777777" w:rsidR="00E41A5B" w:rsidRDefault="00DA7B02">
      <w:pPr>
        <w:pStyle w:val="BodyText"/>
        <w:spacing w:before="271"/>
        <w:ind w:left="1659" w:right="1356"/>
      </w:pPr>
      <w:r>
        <w:rPr>
          <w:b/>
        </w:rPr>
        <w:t xml:space="preserve">Step 4: Governor establishes cost allocation methodology. </w:t>
      </w:r>
      <w:r>
        <w:t>After an infrastructure budget has been determined, the Governor must establish a cost allocation methodology that determines the distribution of infrastructure funding costs among the local one-stop partners in accordance with the principles of proportionate use of the one-stop center and relative benefit received. This allocation methodology must be consistent with the Federal Cost Principles of the Uniform Guidance in 2 CFR part 200, all relevant Federal regulations and statutes, further regulatory guida</w:t>
      </w:r>
      <w:r>
        <w:t>nce, and the partner programs’ authorizing laws and regulations. Beyond these requirements, the determining factor can be a wide range of variables, such as number of customers served, square footage used, or a different basis that</w:t>
      </w:r>
      <w:r>
        <w:rPr>
          <w:spacing w:val="40"/>
        </w:rPr>
        <w:t xml:space="preserve"> </w:t>
      </w:r>
      <w:r>
        <w:t>is agreed upon for determining each partner’s contribution level for infrastructure costs.</w:t>
      </w:r>
    </w:p>
    <w:p w14:paraId="365A96FF" w14:textId="77777777" w:rsidR="00E41A5B" w:rsidRDefault="00E41A5B">
      <w:pPr>
        <w:sectPr w:rsidR="00E41A5B">
          <w:pgSz w:w="12240" w:h="15840"/>
          <w:pgMar w:top="1360" w:right="80" w:bottom="1540" w:left="140" w:header="0" w:footer="1345" w:gutter="0"/>
          <w:cols w:space="720"/>
        </w:sectPr>
      </w:pPr>
    </w:p>
    <w:p w14:paraId="365A9700" w14:textId="77777777" w:rsidR="00E41A5B" w:rsidRDefault="00DA7B02">
      <w:pPr>
        <w:pStyle w:val="BodyText"/>
        <w:spacing w:before="72"/>
        <w:ind w:left="1659" w:right="1355"/>
      </w:pPr>
      <w:r>
        <w:rPr>
          <w:b/>
        </w:rPr>
        <w:lastRenderedPageBreak/>
        <w:t xml:space="preserve">Step 5: Partners’ proportionate shares are determined. </w:t>
      </w:r>
      <w:r>
        <w:t>Once a methodology is established, the Governor must use this methodology to determine each required one-stop partner’s proportionate share of infrastructure funding costs. The Governor must take into account a number of factors in reaching a proportionate share determination including: (1)</w:t>
      </w:r>
      <w:r>
        <w:rPr>
          <w:spacing w:val="40"/>
        </w:rPr>
        <w:t xml:space="preserve"> </w:t>
      </w:r>
      <w:r>
        <w:t>the costs of administration of the one-stop delivery system for purposes not specifically related to a one-stop center for each partner (such as costs associated with maintaining the LWDB or information technology systems); (2) statutory requirements for each partner program; (3) each one-stop partner’s ability to fulfill such requirements; and (4) all other applicable legal requirements. The Governor may draw upon any proportionate share determinations made during the local negotiations, including any agre</w:t>
      </w:r>
      <w:r>
        <w:t>ements reached at the local level by one or more partners, as well as any other materials or documents from the negotiating process.</w:t>
      </w:r>
    </w:p>
    <w:p w14:paraId="365A9701" w14:textId="77777777" w:rsidR="00E41A5B" w:rsidRDefault="00E41A5B">
      <w:pPr>
        <w:pStyle w:val="BodyText"/>
        <w:jc w:val="left"/>
      </w:pPr>
    </w:p>
    <w:p w14:paraId="365A9702" w14:textId="77777777" w:rsidR="00E41A5B" w:rsidRDefault="00DA7B02">
      <w:pPr>
        <w:pStyle w:val="BodyText"/>
        <w:ind w:left="1659" w:right="1358"/>
      </w:pPr>
      <w:r>
        <w:t>In some instances, the Governor does not determine each one-stop partner’s contribution amounts for infrastructure costs. In States where the policy-making authority is placed in an entity</w:t>
      </w:r>
      <w:r>
        <w:rPr>
          <w:spacing w:val="-7"/>
        </w:rPr>
        <w:t xml:space="preserve"> </w:t>
      </w:r>
      <w:r>
        <w:t>or</w:t>
      </w:r>
      <w:r>
        <w:rPr>
          <w:spacing w:val="-1"/>
        </w:rPr>
        <w:t xml:space="preserve"> </w:t>
      </w:r>
      <w:r>
        <w:t>official</w:t>
      </w:r>
      <w:r>
        <w:rPr>
          <w:spacing w:val="-2"/>
        </w:rPr>
        <w:t xml:space="preserve"> </w:t>
      </w:r>
      <w:r>
        <w:t>that</w:t>
      </w:r>
      <w:r>
        <w:rPr>
          <w:spacing w:val="-2"/>
        </w:rPr>
        <w:t xml:space="preserve"> </w:t>
      </w:r>
      <w:r>
        <w:t>is independent</w:t>
      </w:r>
      <w:r>
        <w:rPr>
          <w:spacing w:val="-2"/>
        </w:rPr>
        <w:t xml:space="preserve"> </w:t>
      </w:r>
      <w:r>
        <w:t>of</w:t>
      </w:r>
      <w:r>
        <w:rPr>
          <w:spacing w:val="-3"/>
        </w:rPr>
        <w:t xml:space="preserve"> </w:t>
      </w:r>
      <w:r>
        <w:t>the</w:t>
      </w:r>
      <w:r>
        <w:rPr>
          <w:spacing w:val="-1"/>
        </w:rPr>
        <w:t xml:space="preserve"> </w:t>
      </w:r>
      <w:r>
        <w:t>authority</w:t>
      </w:r>
      <w:r>
        <w:rPr>
          <w:spacing w:val="-5"/>
        </w:rPr>
        <w:t xml:space="preserve"> </w:t>
      </w:r>
      <w:r>
        <w:t>of</w:t>
      </w:r>
      <w:r>
        <w:rPr>
          <w:spacing w:val="-3"/>
        </w:rPr>
        <w:t xml:space="preserve"> </w:t>
      </w:r>
      <w:r>
        <w:t>the</w:t>
      </w:r>
      <w:r>
        <w:rPr>
          <w:spacing w:val="-1"/>
        </w:rPr>
        <w:t xml:space="preserve"> </w:t>
      </w:r>
      <w:r>
        <w:t>Governor</w:t>
      </w:r>
      <w:r>
        <w:rPr>
          <w:spacing w:val="-1"/>
        </w:rPr>
        <w:t xml:space="preserve"> </w:t>
      </w:r>
      <w:r>
        <w:t>with</w:t>
      </w:r>
      <w:r>
        <w:rPr>
          <w:spacing w:val="-2"/>
        </w:rPr>
        <w:t xml:space="preserve"> </w:t>
      </w:r>
      <w:r>
        <w:t>respect</w:t>
      </w:r>
      <w:r>
        <w:rPr>
          <w:spacing w:val="-2"/>
        </w:rPr>
        <w:t xml:space="preserve"> </w:t>
      </w:r>
      <w:r>
        <w:t>to</w:t>
      </w:r>
      <w:r>
        <w:rPr>
          <w:spacing w:val="-2"/>
        </w:rPr>
        <w:t xml:space="preserve"> </w:t>
      </w:r>
      <w:r>
        <w:t>the</w:t>
      </w:r>
      <w:r>
        <w:rPr>
          <w:spacing w:val="-1"/>
        </w:rPr>
        <w:t xml:space="preserve"> </w:t>
      </w:r>
      <w:r>
        <w:t>funds provided for the AEFLA program, postsecondary career and technical education activities authorized</w:t>
      </w:r>
      <w:r>
        <w:rPr>
          <w:spacing w:val="-1"/>
        </w:rPr>
        <w:t xml:space="preserve"> </w:t>
      </w:r>
      <w:r>
        <w:t>under</w:t>
      </w:r>
      <w:r>
        <w:rPr>
          <w:spacing w:val="-2"/>
        </w:rPr>
        <w:t xml:space="preserve"> </w:t>
      </w:r>
      <w:r>
        <w:t>Perkins IV,</w:t>
      </w:r>
      <w:r>
        <w:rPr>
          <w:spacing w:val="-1"/>
        </w:rPr>
        <w:t xml:space="preserve"> </w:t>
      </w:r>
      <w:r>
        <w:t>or</w:t>
      </w:r>
      <w:r>
        <w:rPr>
          <w:spacing w:val="-2"/>
        </w:rPr>
        <w:t xml:space="preserve"> </w:t>
      </w:r>
      <w:r>
        <w:t>the</w:t>
      </w:r>
      <w:r>
        <w:rPr>
          <w:spacing w:val="-2"/>
        </w:rPr>
        <w:t xml:space="preserve"> </w:t>
      </w:r>
      <w:r>
        <w:t>VR program,</w:t>
      </w:r>
      <w:r>
        <w:rPr>
          <w:spacing w:val="-1"/>
        </w:rPr>
        <w:t xml:space="preserve"> </w:t>
      </w:r>
      <w:r>
        <w:t>the</w:t>
      </w:r>
      <w:r>
        <w:rPr>
          <w:spacing w:val="-2"/>
        </w:rPr>
        <w:t xml:space="preserve"> </w:t>
      </w:r>
      <w:r>
        <w:t>determination</w:t>
      </w:r>
      <w:r>
        <w:rPr>
          <w:spacing w:val="-1"/>
        </w:rPr>
        <w:t xml:space="preserve"> </w:t>
      </w:r>
      <w:r>
        <w:t>of</w:t>
      </w:r>
      <w:r>
        <w:rPr>
          <w:spacing w:val="-2"/>
        </w:rPr>
        <w:t xml:space="preserve"> </w:t>
      </w:r>
      <w:r>
        <w:t>the amount</w:t>
      </w:r>
      <w:r>
        <w:rPr>
          <w:spacing w:val="-1"/>
        </w:rPr>
        <w:t xml:space="preserve"> </w:t>
      </w:r>
      <w:r>
        <w:t>each</w:t>
      </w:r>
      <w:r>
        <w:rPr>
          <w:spacing w:val="-1"/>
        </w:rPr>
        <w:t xml:space="preserve"> </w:t>
      </w:r>
      <w:r>
        <w:t>of</w:t>
      </w:r>
      <w:r>
        <w:rPr>
          <w:spacing w:val="-2"/>
        </w:rPr>
        <w:t xml:space="preserve"> </w:t>
      </w:r>
      <w:r>
        <w:t>the applicable partners must contribute to assist in paying the infrastructure costs of one-stop centers must be made by the official or chief officer of the entity with such authority, in consultation with the Governor.</w:t>
      </w:r>
    </w:p>
    <w:p w14:paraId="365A9703" w14:textId="77777777" w:rsidR="00E41A5B" w:rsidRDefault="00E41A5B">
      <w:pPr>
        <w:pStyle w:val="BodyText"/>
        <w:jc w:val="left"/>
      </w:pPr>
    </w:p>
    <w:p w14:paraId="365A9704" w14:textId="77777777" w:rsidR="00E41A5B" w:rsidRDefault="00DA7B02">
      <w:pPr>
        <w:pStyle w:val="BodyText"/>
        <w:ind w:left="1659" w:right="1357"/>
      </w:pPr>
      <w:r>
        <w:t>For other required partner programs in which grant awards are made to entities that are independent of the authority of the Governor, such as Job Corps center contractors or grant recipients of the DOL-administered national programs, the determination of the amount each of the applicable partners must contribute to assist in paying the infrastructure costs of one- stop centers continues to be made by the Governor, through the authority granted to the Governor by WIOA and its implementing regulations.</w:t>
      </w:r>
    </w:p>
    <w:p w14:paraId="365A9705" w14:textId="77777777" w:rsidR="00E41A5B" w:rsidRDefault="00E41A5B">
      <w:pPr>
        <w:pStyle w:val="BodyText"/>
        <w:jc w:val="left"/>
      </w:pPr>
    </w:p>
    <w:p w14:paraId="365A9706" w14:textId="77777777" w:rsidR="00E41A5B" w:rsidRDefault="00DA7B02">
      <w:pPr>
        <w:pStyle w:val="BodyText"/>
        <w:ind w:left="1659" w:right="1358"/>
      </w:pPr>
      <w:r>
        <w:rPr>
          <w:b/>
        </w:rPr>
        <w:t xml:space="preserve">Step 6: Governor calculates statewide caps. </w:t>
      </w:r>
      <w:r>
        <w:t>Once the Governor has created a cost allocation methodology, the Governor then must calculate the statewide caps to determine</w:t>
      </w:r>
      <w:r>
        <w:rPr>
          <w:spacing w:val="40"/>
        </w:rPr>
        <w:t xml:space="preserve"> </w:t>
      </w:r>
      <w:r>
        <w:t>the maximum amounts that required partner programs could be required to contribute toward infrastructure funding in that local area. There are no statewide caps for additional partners because the SFM does not apply to them.</w:t>
      </w:r>
    </w:p>
    <w:p w14:paraId="365A9707" w14:textId="77777777" w:rsidR="00E41A5B" w:rsidRDefault="00E41A5B">
      <w:pPr>
        <w:pStyle w:val="BodyText"/>
        <w:jc w:val="left"/>
      </w:pPr>
    </w:p>
    <w:p w14:paraId="365A9708" w14:textId="77777777" w:rsidR="00E41A5B" w:rsidRDefault="00DA7B02">
      <w:pPr>
        <w:pStyle w:val="BodyText"/>
        <w:ind w:left="1659" w:right="1353"/>
      </w:pPr>
      <w:r>
        <w:t>The statewide caps are a statutory requirement for purposes of the SFM, even when only one local area is unable to reach consensus on an IFA through the LFM. However, the caps only restrict those infrastructure cost contributions required by one-stop partners within the local area(s)</w:t>
      </w:r>
      <w:r>
        <w:rPr>
          <w:spacing w:val="-1"/>
        </w:rPr>
        <w:t xml:space="preserve"> </w:t>
      </w:r>
      <w:r>
        <w:t xml:space="preserve">that </w:t>
      </w:r>
      <w:proofErr w:type="gramStart"/>
      <w:r>
        <w:t>has</w:t>
      </w:r>
      <w:proofErr w:type="gramEnd"/>
      <w:r>
        <w:t xml:space="preserve"> (or</w:t>
      </w:r>
      <w:r>
        <w:rPr>
          <w:spacing w:val="-1"/>
        </w:rPr>
        <w:t xml:space="preserve"> </w:t>
      </w:r>
      <w:r>
        <w:t>have) not reached consensus. The</w:t>
      </w:r>
      <w:r>
        <w:rPr>
          <w:spacing w:val="-1"/>
        </w:rPr>
        <w:t xml:space="preserve"> </w:t>
      </w:r>
      <w:r>
        <w:t>caps used in the</w:t>
      </w:r>
      <w:r>
        <w:rPr>
          <w:spacing w:val="-1"/>
        </w:rPr>
        <w:t xml:space="preserve"> </w:t>
      </w:r>
      <w:r>
        <w:t>application of</w:t>
      </w:r>
      <w:r>
        <w:rPr>
          <w:spacing w:val="-1"/>
        </w:rPr>
        <w:t xml:space="preserve"> </w:t>
      </w:r>
      <w:r>
        <w:t>the SFM are referred to as the applicable program caps, which must be calculated by the Governor using the five sub-steps listed below.</w:t>
      </w:r>
    </w:p>
    <w:p w14:paraId="365A9709" w14:textId="77777777" w:rsidR="00E41A5B" w:rsidRDefault="00DA7B02">
      <w:pPr>
        <w:pStyle w:val="BodyText"/>
        <w:spacing w:before="265"/>
        <w:ind w:left="2020" w:right="1355"/>
      </w:pPr>
      <w:proofErr w:type="gramStart"/>
      <w:r>
        <w:t>In the event that</w:t>
      </w:r>
      <w:proofErr w:type="gramEnd"/>
      <w:r>
        <w:t xml:space="preserve"> more than one local area in a State does not reach consensus, then the aggregate of the infrastructure funding costs that must be contributed by each required one-stop partner in </w:t>
      </w:r>
      <w:proofErr w:type="gramStart"/>
      <w:r>
        <w:t>all of</w:t>
      </w:r>
      <w:proofErr w:type="gramEnd"/>
      <w:r>
        <w:t xml:space="preserve"> the local areas that did not reach consensus is restricted by the applicable program cap.</w:t>
      </w:r>
    </w:p>
    <w:p w14:paraId="365A970A" w14:textId="77777777" w:rsidR="00E41A5B" w:rsidRDefault="00E41A5B">
      <w:pPr>
        <w:sectPr w:rsidR="00E41A5B">
          <w:pgSz w:w="12240" w:h="15840"/>
          <w:pgMar w:top="1360" w:right="80" w:bottom="1540" w:left="140" w:header="0" w:footer="1345" w:gutter="0"/>
          <w:cols w:space="720"/>
        </w:sectPr>
      </w:pPr>
    </w:p>
    <w:p w14:paraId="365A970B" w14:textId="77777777" w:rsidR="00E41A5B" w:rsidRDefault="00DA7B02">
      <w:pPr>
        <w:pStyle w:val="BodyText"/>
        <w:spacing w:before="72"/>
        <w:ind w:left="2019" w:right="1355"/>
      </w:pPr>
      <w:r>
        <w:lastRenderedPageBreak/>
        <w:t>For example, if three of seven local areas within a State did not reach consensus, then the required infrastructure funding contributions of each required one-stop partner under a particular program in these three areas would be added together, the sum of which could not exceed the calculated applicable program cap.</w:t>
      </w:r>
    </w:p>
    <w:p w14:paraId="365A970C" w14:textId="77777777" w:rsidR="00E41A5B" w:rsidRDefault="00E41A5B">
      <w:pPr>
        <w:pStyle w:val="BodyText"/>
        <w:jc w:val="left"/>
      </w:pPr>
    </w:p>
    <w:p w14:paraId="365A970D" w14:textId="77777777" w:rsidR="00E41A5B" w:rsidRDefault="00E41A5B">
      <w:pPr>
        <w:pStyle w:val="BodyText"/>
        <w:jc w:val="left"/>
      </w:pPr>
    </w:p>
    <w:p w14:paraId="365A970E" w14:textId="77777777" w:rsidR="00E41A5B" w:rsidRDefault="00DA7B02">
      <w:pPr>
        <w:pStyle w:val="BodyText"/>
        <w:ind w:left="1299" w:right="1357"/>
        <w:jc w:val="left"/>
      </w:pPr>
      <w:r>
        <w:t>The</w:t>
      </w:r>
      <w:r>
        <w:rPr>
          <w:spacing w:val="-4"/>
        </w:rPr>
        <w:t xml:space="preserve"> </w:t>
      </w:r>
      <w:r>
        <w:t>Governor</w:t>
      </w:r>
      <w:r>
        <w:rPr>
          <w:spacing w:val="-4"/>
        </w:rPr>
        <w:t xml:space="preserve"> </w:t>
      </w:r>
      <w:r>
        <w:t>must</w:t>
      </w:r>
      <w:r>
        <w:rPr>
          <w:spacing w:val="-3"/>
        </w:rPr>
        <w:t xml:space="preserve"> </w:t>
      </w:r>
      <w:r>
        <w:t>take</w:t>
      </w:r>
      <w:r>
        <w:rPr>
          <w:spacing w:val="-2"/>
        </w:rPr>
        <w:t xml:space="preserve"> </w:t>
      </w:r>
      <w:r>
        <w:t>five</w:t>
      </w:r>
      <w:r>
        <w:rPr>
          <w:spacing w:val="-4"/>
        </w:rPr>
        <w:t xml:space="preserve"> </w:t>
      </w:r>
      <w:r>
        <w:t>sub-steps</w:t>
      </w:r>
      <w:r>
        <w:rPr>
          <w:spacing w:val="-3"/>
        </w:rPr>
        <w:t xml:space="preserve"> </w:t>
      </w:r>
      <w:r>
        <w:t>to</w:t>
      </w:r>
      <w:r>
        <w:rPr>
          <w:spacing w:val="-3"/>
        </w:rPr>
        <w:t xml:space="preserve"> </w:t>
      </w:r>
      <w:r>
        <w:t>calculate</w:t>
      </w:r>
      <w:r>
        <w:rPr>
          <w:spacing w:val="-4"/>
        </w:rPr>
        <w:t xml:space="preserve"> </w:t>
      </w:r>
      <w:r>
        <w:t>the</w:t>
      </w:r>
      <w:r>
        <w:rPr>
          <w:spacing w:val="-4"/>
        </w:rPr>
        <w:t xml:space="preserve"> </w:t>
      </w:r>
      <w:r>
        <w:t>applicable</w:t>
      </w:r>
      <w:r>
        <w:rPr>
          <w:spacing w:val="-4"/>
        </w:rPr>
        <w:t xml:space="preserve"> </w:t>
      </w:r>
      <w:r>
        <w:t>program</w:t>
      </w:r>
      <w:r>
        <w:rPr>
          <w:spacing w:val="-1"/>
        </w:rPr>
        <w:t xml:space="preserve"> </w:t>
      </w:r>
      <w:r>
        <w:t>cap</w:t>
      </w:r>
      <w:r>
        <w:rPr>
          <w:spacing w:val="-3"/>
        </w:rPr>
        <w:t xml:space="preserve"> </w:t>
      </w:r>
      <w:r>
        <w:t>for</w:t>
      </w:r>
      <w:r>
        <w:rPr>
          <w:spacing w:val="-2"/>
        </w:rPr>
        <w:t xml:space="preserve"> </w:t>
      </w:r>
      <w:r>
        <w:t>any</w:t>
      </w:r>
      <w:r>
        <w:rPr>
          <w:spacing w:val="-6"/>
        </w:rPr>
        <w:t xml:space="preserve"> </w:t>
      </w:r>
      <w:r>
        <w:t xml:space="preserve">given </w:t>
      </w:r>
      <w:r>
        <w:rPr>
          <w:spacing w:val="-2"/>
        </w:rPr>
        <w:t>program.</w:t>
      </w:r>
    </w:p>
    <w:p w14:paraId="365A970F" w14:textId="77777777" w:rsidR="00E41A5B" w:rsidRDefault="00E41A5B">
      <w:pPr>
        <w:pStyle w:val="BodyText"/>
        <w:spacing w:before="54"/>
        <w:jc w:val="left"/>
        <w:rPr>
          <w:sz w:val="20"/>
        </w:rPr>
      </w:pPr>
    </w:p>
    <w:tbl>
      <w:tblPr>
        <w:tblW w:w="0" w:type="auto"/>
        <w:tblInd w:w="13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44"/>
        <w:gridCol w:w="5424"/>
      </w:tblGrid>
      <w:tr w:rsidR="00E41A5B" w14:paraId="365A9718" w14:textId="77777777">
        <w:trPr>
          <w:trHeight w:val="3587"/>
        </w:trPr>
        <w:tc>
          <w:tcPr>
            <w:tcW w:w="4044" w:type="dxa"/>
          </w:tcPr>
          <w:p w14:paraId="365A9710" w14:textId="77777777" w:rsidR="00E41A5B" w:rsidRDefault="00E41A5B">
            <w:pPr>
              <w:pStyle w:val="TableParagraph"/>
              <w:ind w:left="0"/>
              <w:rPr>
                <w:sz w:val="24"/>
              </w:rPr>
            </w:pPr>
          </w:p>
          <w:p w14:paraId="365A9711" w14:textId="77777777" w:rsidR="00E41A5B" w:rsidRDefault="00E41A5B">
            <w:pPr>
              <w:pStyle w:val="TableParagraph"/>
              <w:ind w:left="0"/>
              <w:rPr>
                <w:sz w:val="24"/>
              </w:rPr>
            </w:pPr>
          </w:p>
          <w:p w14:paraId="365A9712" w14:textId="77777777" w:rsidR="00E41A5B" w:rsidRDefault="00E41A5B">
            <w:pPr>
              <w:pStyle w:val="TableParagraph"/>
              <w:ind w:left="0"/>
              <w:rPr>
                <w:sz w:val="24"/>
              </w:rPr>
            </w:pPr>
          </w:p>
          <w:p w14:paraId="365A9713" w14:textId="77777777" w:rsidR="00E41A5B" w:rsidRDefault="00E41A5B">
            <w:pPr>
              <w:pStyle w:val="TableParagraph"/>
              <w:ind w:left="0"/>
              <w:rPr>
                <w:sz w:val="24"/>
              </w:rPr>
            </w:pPr>
          </w:p>
          <w:p w14:paraId="365A9714" w14:textId="77777777" w:rsidR="00E41A5B" w:rsidRDefault="00E41A5B">
            <w:pPr>
              <w:pStyle w:val="TableParagraph"/>
              <w:spacing w:before="267"/>
              <w:ind w:left="0"/>
              <w:rPr>
                <w:sz w:val="24"/>
              </w:rPr>
            </w:pPr>
          </w:p>
          <w:p w14:paraId="365A9715" w14:textId="77777777" w:rsidR="00E41A5B" w:rsidRDefault="00DA7B02">
            <w:pPr>
              <w:pStyle w:val="TableParagraph"/>
              <w:spacing w:before="1"/>
              <w:rPr>
                <w:sz w:val="24"/>
              </w:rPr>
            </w:pPr>
            <w:r>
              <w:rPr>
                <w:sz w:val="24"/>
              </w:rPr>
              <w:t>Sub-Step</w:t>
            </w:r>
            <w:r>
              <w:rPr>
                <w:spacing w:val="-2"/>
                <w:sz w:val="24"/>
              </w:rPr>
              <w:t xml:space="preserve"> </w:t>
            </w:r>
            <w:r>
              <w:rPr>
                <w:spacing w:val="-5"/>
                <w:sz w:val="24"/>
              </w:rPr>
              <w:t>1:</w:t>
            </w:r>
          </w:p>
        </w:tc>
        <w:tc>
          <w:tcPr>
            <w:tcW w:w="5424" w:type="dxa"/>
          </w:tcPr>
          <w:p w14:paraId="365A9716" w14:textId="77777777" w:rsidR="00E41A5B" w:rsidRDefault="00DA7B02">
            <w:pPr>
              <w:pStyle w:val="TableParagraph"/>
              <w:ind w:right="62"/>
              <w:rPr>
                <w:sz w:val="24"/>
              </w:rPr>
            </w:pPr>
            <w:r>
              <w:rPr>
                <w:sz w:val="24"/>
              </w:rPr>
              <w:t>The Governor must apply a partner’s individual applicable limiting percentage (the statutory percentages listed in WIOA sec. 121(h)(2)(d))— which</w:t>
            </w:r>
            <w:r>
              <w:rPr>
                <w:spacing w:val="-4"/>
                <w:sz w:val="24"/>
              </w:rPr>
              <w:t xml:space="preserve"> </w:t>
            </w:r>
            <w:r>
              <w:rPr>
                <w:sz w:val="24"/>
              </w:rPr>
              <w:t>is</w:t>
            </w:r>
            <w:r>
              <w:rPr>
                <w:spacing w:val="-4"/>
                <w:sz w:val="24"/>
              </w:rPr>
              <w:t xml:space="preserve"> </w:t>
            </w:r>
            <w:r>
              <w:rPr>
                <w:sz w:val="24"/>
              </w:rPr>
              <w:t>dependent</w:t>
            </w:r>
            <w:r>
              <w:rPr>
                <w:spacing w:val="-4"/>
                <w:sz w:val="24"/>
              </w:rPr>
              <w:t xml:space="preserve"> </w:t>
            </w:r>
            <w:r>
              <w:rPr>
                <w:sz w:val="24"/>
              </w:rPr>
              <w:t>on</w:t>
            </w:r>
            <w:r>
              <w:rPr>
                <w:spacing w:val="-4"/>
                <w:sz w:val="24"/>
              </w:rPr>
              <w:t xml:space="preserve"> </w:t>
            </w:r>
            <w:r>
              <w:rPr>
                <w:sz w:val="24"/>
              </w:rPr>
              <w:t>the</w:t>
            </w:r>
            <w:r>
              <w:rPr>
                <w:spacing w:val="-5"/>
                <w:sz w:val="24"/>
              </w:rPr>
              <w:t xml:space="preserve"> </w:t>
            </w:r>
            <w:r>
              <w:rPr>
                <w:sz w:val="24"/>
              </w:rPr>
              <w:t>type</w:t>
            </w:r>
            <w:r>
              <w:rPr>
                <w:spacing w:val="-5"/>
                <w:sz w:val="24"/>
              </w:rPr>
              <w:t xml:space="preserve"> </w:t>
            </w:r>
            <w:r>
              <w:rPr>
                <w:sz w:val="24"/>
              </w:rPr>
              <w:t>of</w:t>
            </w:r>
            <w:r>
              <w:rPr>
                <w:spacing w:val="-5"/>
                <w:sz w:val="24"/>
              </w:rPr>
              <w:t xml:space="preserve"> </w:t>
            </w:r>
            <w:r>
              <w:rPr>
                <w:sz w:val="24"/>
              </w:rPr>
              <w:t>program</w:t>
            </w:r>
            <w:r>
              <w:rPr>
                <w:spacing w:val="-4"/>
                <w:sz w:val="24"/>
              </w:rPr>
              <w:t xml:space="preserve"> </w:t>
            </w:r>
            <w:r>
              <w:rPr>
                <w:sz w:val="24"/>
              </w:rPr>
              <w:t>(see</w:t>
            </w:r>
            <w:r>
              <w:rPr>
                <w:spacing w:val="-5"/>
                <w:sz w:val="24"/>
              </w:rPr>
              <w:t xml:space="preserve"> </w:t>
            </w:r>
            <w:r>
              <w:rPr>
                <w:sz w:val="24"/>
              </w:rPr>
              <w:t>chart below)—to the total Federal funding which that program receives for the affected program year to reach the maximum potential cap (MPC). The applicable</w:t>
            </w:r>
            <w:r>
              <w:rPr>
                <w:spacing w:val="-4"/>
                <w:sz w:val="24"/>
              </w:rPr>
              <w:t xml:space="preserve"> </w:t>
            </w:r>
            <w:r>
              <w:rPr>
                <w:sz w:val="24"/>
              </w:rPr>
              <w:t>limiting</w:t>
            </w:r>
            <w:r>
              <w:rPr>
                <w:spacing w:val="-6"/>
                <w:sz w:val="24"/>
              </w:rPr>
              <w:t xml:space="preserve"> </w:t>
            </w:r>
            <w:r>
              <w:rPr>
                <w:sz w:val="24"/>
              </w:rPr>
              <w:t>percentage</w:t>
            </w:r>
            <w:r>
              <w:rPr>
                <w:spacing w:val="-4"/>
                <w:sz w:val="24"/>
              </w:rPr>
              <w:t xml:space="preserve"> </w:t>
            </w:r>
            <w:r>
              <w:rPr>
                <w:sz w:val="24"/>
              </w:rPr>
              <w:t>for</w:t>
            </w:r>
            <w:r>
              <w:rPr>
                <w:spacing w:val="-2"/>
                <w:sz w:val="24"/>
              </w:rPr>
              <w:t xml:space="preserve"> </w:t>
            </w:r>
            <w:r>
              <w:rPr>
                <w:sz w:val="24"/>
              </w:rPr>
              <w:t>a</w:t>
            </w:r>
            <w:r>
              <w:rPr>
                <w:spacing w:val="-4"/>
                <w:sz w:val="24"/>
              </w:rPr>
              <w:t xml:space="preserve"> </w:t>
            </w:r>
            <w:r>
              <w:rPr>
                <w:sz w:val="24"/>
              </w:rPr>
              <w:t>program</w:t>
            </w:r>
            <w:r>
              <w:rPr>
                <w:spacing w:val="-3"/>
                <w:sz w:val="24"/>
              </w:rPr>
              <w:t xml:space="preserve"> </w:t>
            </w:r>
            <w:r>
              <w:rPr>
                <w:sz w:val="24"/>
              </w:rPr>
              <w:t>is</w:t>
            </w:r>
            <w:r>
              <w:rPr>
                <w:spacing w:val="-3"/>
                <w:sz w:val="24"/>
              </w:rPr>
              <w:t xml:space="preserve"> </w:t>
            </w:r>
            <w:r>
              <w:rPr>
                <w:sz w:val="24"/>
              </w:rPr>
              <w:t>listed below and in WIOA sec. 121(h)(2)(d), 20 CFR 678.738(c), 34 CFR 361.738(c), and 34 CFR</w:t>
            </w:r>
          </w:p>
          <w:p w14:paraId="365A9717" w14:textId="77777777" w:rsidR="00E41A5B" w:rsidRDefault="00DA7B02">
            <w:pPr>
              <w:pStyle w:val="TableParagraph"/>
              <w:spacing w:line="270" w:lineRule="atLeast"/>
              <w:ind w:right="227"/>
              <w:jc w:val="both"/>
              <w:rPr>
                <w:sz w:val="24"/>
              </w:rPr>
            </w:pPr>
            <w:r>
              <w:rPr>
                <w:sz w:val="24"/>
              </w:rPr>
              <w:t xml:space="preserve">463.738(c). </w:t>
            </w:r>
            <w:r>
              <w:rPr>
                <w:sz w:val="24"/>
                <w:u w:val="single"/>
              </w:rPr>
              <w:t>Some programs will use previous years’</w:t>
            </w:r>
            <w:r>
              <w:rPr>
                <w:sz w:val="24"/>
              </w:rPr>
              <w:t xml:space="preserve"> </w:t>
            </w:r>
            <w:r>
              <w:rPr>
                <w:sz w:val="24"/>
                <w:u w:val="single"/>
              </w:rPr>
              <w:t>funding</w:t>
            </w:r>
            <w:r>
              <w:rPr>
                <w:spacing w:val="-8"/>
                <w:sz w:val="24"/>
                <w:u w:val="single"/>
              </w:rPr>
              <w:t xml:space="preserve"> </w:t>
            </w:r>
            <w:r>
              <w:rPr>
                <w:sz w:val="24"/>
                <w:u w:val="single"/>
              </w:rPr>
              <w:t>to</w:t>
            </w:r>
            <w:r>
              <w:rPr>
                <w:spacing w:val="-5"/>
                <w:sz w:val="24"/>
                <w:u w:val="single"/>
              </w:rPr>
              <w:t xml:space="preserve"> </w:t>
            </w:r>
            <w:r>
              <w:rPr>
                <w:sz w:val="24"/>
                <w:u w:val="single"/>
              </w:rPr>
              <w:t>determine</w:t>
            </w:r>
            <w:r>
              <w:rPr>
                <w:spacing w:val="-6"/>
                <w:sz w:val="24"/>
                <w:u w:val="single"/>
              </w:rPr>
              <w:t xml:space="preserve"> </w:t>
            </w:r>
            <w:r>
              <w:rPr>
                <w:sz w:val="24"/>
                <w:u w:val="single"/>
              </w:rPr>
              <w:t>the</w:t>
            </w:r>
            <w:r>
              <w:rPr>
                <w:spacing w:val="-4"/>
                <w:sz w:val="24"/>
                <w:u w:val="single"/>
              </w:rPr>
              <w:t xml:space="preserve"> </w:t>
            </w:r>
            <w:r>
              <w:rPr>
                <w:sz w:val="24"/>
                <w:u w:val="single"/>
              </w:rPr>
              <w:t>cap</w:t>
            </w:r>
            <w:r>
              <w:rPr>
                <w:spacing w:val="-5"/>
                <w:sz w:val="24"/>
                <w:u w:val="single"/>
              </w:rPr>
              <w:t xml:space="preserve"> </w:t>
            </w:r>
            <w:r>
              <w:rPr>
                <w:sz w:val="24"/>
                <w:u w:val="single"/>
              </w:rPr>
              <w:t>due</w:t>
            </w:r>
            <w:r>
              <w:rPr>
                <w:spacing w:val="-6"/>
                <w:sz w:val="24"/>
                <w:u w:val="single"/>
              </w:rPr>
              <w:t xml:space="preserve"> </w:t>
            </w:r>
            <w:r>
              <w:rPr>
                <w:sz w:val="24"/>
                <w:u w:val="single"/>
              </w:rPr>
              <w:t>to</w:t>
            </w:r>
            <w:r>
              <w:rPr>
                <w:spacing w:val="-5"/>
                <w:sz w:val="24"/>
                <w:u w:val="single"/>
              </w:rPr>
              <w:t xml:space="preserve"> </w:t>
            </w:r>
            <w:r>
              <w:rPr>
                <w:sz w:val="24"/>
                <w:u w:val="single"/>
              </w:rPr>
              <w:t>internal</w:t>
            </w:r>
            <w:r>
              <w:rPr>
                <w:spacing w:val="-5"/>
                <w:sz w:val="24"/>
                <w:u w:val="single"/>
              </w:rPr>
              <w:t xml:space="preserve"> </w:t>
            </w:r>
            <w:r>
              <w:rPr>
                <w:sz w:val="24"/>
                <w:u w:val="single"/>
              </w:rPr>
              <w:t>program</w:t>
            </w:r>
            <w:r>
              <w:rPr>
                <w:sz w:val="24"/>
              </w:rPr>
              <w:t xml:space="preserve"> </w:t>
            </w:r>
            <w:r>
              <w:rPr>
                <w:sz w:val="24"/>
                <w:u w:val="single"/>
              </w:rPr>
              <w:t>funding allocation or reallotment methods</w:t>
            </w:r>
          </w:p>
        </w:tc>
      </w:tr>
      <w:tr w:rsidR="00E41A5B" w14:paraId="365A971D" w14:textId="77777777">
        <w:trPr>
          <w:trHeight w:val="1379"/>
        </w:trPr>
        <w:tc>
          <w:tcPr>
            <w:tcW w:w="4044" w:type="dxa"/>
          </w:tcPr>
          <w:p w14:paraId="365A9719" w14:textId="77777777" w:rsidR="00E41A5B" w:rsidRDefault="00E41A5B">
            <w:pPr>
              <w:pStyle w:val="TableParagraph"/>
              <w:spacing w:before="267"/>
              <w:ind w:left="0"/>
              <w:rPr>
                <w:sz w:val="24"/>
              </w:rPr>
            </w:pPr>
          </w:p>
          <w:p w14:paraId="365A971A" w14:textId="77777777" w:rsidR="00E41A5B" w:rsidRDefault="00DA7B02">
            <w:pPr>
              <w:pStyle w:val="TableParagraph"/>
              <w:rPr>
                <w:sz w:val="24"/>
              </w:rPr>
            </w:pPr>
            <w:r>
              <w:rPr>
                <w:sz w:val="24"/>
              </w:rPr>
              <w:t>Sub-Step</w:t>
            </w:r>
            <w:r>
              <w:rPr>
                <w:spacing w:val="-2"/>
                <w:sz w:val="24"/>
              </w:rPr>
              <w:t xml:space="preserve"> </w:t>
            </w:r>
            <w:r>
              <w:rPr>
                <w:spacing w:val="-5"/>
                <w:sz w:val="24"/>
              </w:rPr>
              <w:t>2:</w:t>
            </w:r>
          </w:p>
        </w:tc>
        <w:tc>
          <w:tcPr>
            <w:tcW w:w="5424" w:type="dxa"/>
          </w:tcPr>
          <w:p w14:paraId="365A971B" w14:textId="77777777" w:rsidR="00E41A5B" w:rsidRDefault="00DA7B02">
            <w:pPr>
              <w:pStyle w:val="TableParagraph"/>
              <w:ind w:right="62"/>
              <w:rPr>
                <w:sz w:val="24"/>
              </w:rPr>
            </w:pPr>
            <w:r>
              <w:rPr>
                <w:sz w:val="24"/>
              </w:rPr>
              <w:t>The Governor must select a determining factor or factors that reasonably indicate the use of one-stop centers in the State. This could be, for example, total</w:t>
            </w:r>
          </w:p>
          <w:p w14:paraId="365A971C" w14:textId="77777777" w:rsidR="00E41A5B" w:rsidRDefault="00DA7B02">
            <w:pPr>
              <w:pStyle w:val="TableParagraph"/>
              <w:spacing w:line="270" w:lineRule="atLeast"/>
              <w:ind w:right="62"/>
              <w:rPr>
                <w:sz w:val="24"/>
              </w:rPr>
            </w:pPr>
            <w:r>
              <w:rPr>
                <w:sz w:val="24"/>
              </w:rPr>
              <w:t>population,</w:t>
            </w:r>
            <w:r>
              <w:rPr>
                <w:spacing w:val="-7"/>
                <w:sz w:val="24"/>
              </w:rPr>
              <w:t xml:space="preserve"> </w:t>
            </w:r>
            <w:r>
              <w:rPr>
                <w:sz w:val="24"/>
              </w:rPr>
              <w:t>concentration</w:t>
            </w:r>
            <w:r>
              <w:rPr>
                <w:spacing w:val="-5"/>
                <w:sz w:val="24"/>
              </w:rPr>
              <w:t xml:space="preserve"> </w:t>
            </w:r>
            <w:r>
              <w:rPr>
                <w:sz w:val="24"/>
              </w:rPr>
              <w:t>of</w:t>
            </w:r>
            <w:r>
              <w:rPr>
                <w:spacing w:val="-8"/>
                <w:sz w:val="24"/>
              </w:rPr>
              <w:t xml:space="preserve"> </w:t>
            </w:r>
            <w:r>
              <w:rPr>
                <w:sz w:val="24"/>
              </w:rPr>
              <w:t>wealth,</w:t>
            </w:r>
            <w:r>
              <w:rPr>
                <w:spacing w:val="-7"/>
                <w:sz w:val="24"/>
              </w:rPr>
              <w:t xml:space="preserve"> </w:t>
            </w:r>
            <w:r>
              <w:rPr>
                <w:sz w:val="24"/>
              </w:rPr>
              <w:t>or</w:t>
            </w:r>
            <w:r>
              <w:rPr>
                <w:spacing w:val="-6"/>
                <w:sz w:val="24"/>
              </w:rPr>
              <w:t xml:space="preserve"> </w:t>
            </w:r>
            <w:r>
              <w:rPr>
                <w:sz w:val="24"/>
              </w:rPr>
              <w:t>another</w:t>
            </w:r>
            <w:r>
              <w:rPr>
                <w:spacing w:val="-8"/>
                <w:sz w:val="24"/>
              </w:rPr>
              <w:t xml:space="preserve"> </w:t>
            </w:r>
            <w:r>
              <w:rPr>
                <w:sz w:val="24"/>
              </w:rPr>
              <w:t>factor that is applicable to the State’s workforce dynamic.</w:t>
            </w:r>
          </w:p>
        </w:tc>
      </w:tr>
      <w:tr w:rsidR="00E41A5B" w14:paraId="365A9722" w14:textId="77777777">
        <w:trPr>
          <w:trHeight w:val="1379"/>
        </w:trPr>
        <w:tc>
          <w:tcPr>
            <w:tcW w:w="4044" w:type="dxa"/>
          </w:tcPr>
          <w:p w14:paraId="365A971E" w14:textId="77777777" w:rsidR="00E41A5B" w:rsidRDefault="00E41A5B">
            <w:pPr>
              <w:pStyle w:val="TableParagraph"/>
              <w:spacing w:before="267"/>
              <w:ind w:left="0"/>
              <w:rPr>
                <w:sz w:val="24"/>
              </w:rPr>
            </w:pPr>
          </w:p>
          <w:p w14:paraId="365A971F" w14:textId="77777777" w:rsidR="00E41A5B" w:rsidRDefault="00DA7B02">
            <w:pPr>
              <w:pStyle w:val="TableParagraph"/>
              <w:rPr>
                <w:sz w:val="24"/>
              </w:rPr>
            </w:pPr>
            <w:r>
              <w:rPr>
                <w:sz w:val="24"/>
              </w:rPr>
              <w:t>Sub-Step</w:t>
            </w:r>
            <w:r>
              <w:rPr>
                <w:spacing w:val="-2"/>
                <w:sz w:val="24"/>
              </w:rPr>
              <w:t xml:space="preserve"> </w:t>
            </w:r>
            <w:r>
              <w:rPr>
                <w:spacing w:val="-5"/>
                <w:sz w:val="24"/>
              </w:rPr>
              <w:t>3:</w:t>
            </w:r>
          </w:p>
        </w:tc>
        <w:tc>
          <w:tcPr>
            <w:tcW w:w="5424" w:type="dxa"/>
          </w:tcPr>
          <w:p w14:paraId="365A9720" w14:textId="77777777" w:rsidR="00E41A5B" w:rsidRDefault="00DA7B02">
            <w:pPr>
              <w:pStyle w:val="TableParagraph"/>
              <w:ind w:right="62"/>
              <w:rPr>
                <w:sz w:val="24"/>
              </w:rPr>
            </w:pPr>
            <w:r>
              <w:rPr>
                <w:sz w:val="24"/>
              </w:rPr>
              <w:t>The</w:t>
            </w:r>
            <w:r>
              <w:rPr>
                <w:spacing w:val="-6"/>
                <w:sz w:val="24"/>
              </w:rPr>
              <w:t xml:space="preserve"> </w:t>
            </w:r>
            <w:r>
              <w:rPr>
                <w:sz w:val="24"/>
              </w:rPr>
              <w:t>Governor</w:t>
            </w:r>
            <w:r>
              <w:rPr>
                <w:spacing w:val="-6"/>
                <w:sz w:val="24"/>
              </w:rPr>
              <w:t xml:space="preserve"> </w:t>
            </w:r>
            <w:r>
              <w:rPr>
                <w:sz w:val="24"/>
              </w:rPr>
              <w:t>applies</w:t>
            </w:r>
            <w:r>
              <w:rPr>
                <w:spacing w:val="-5"/>
                <w:sz w:val="24"/>
              </w:rPr>
              <w:t xml:space="preserve"> </w:t>
            </w:r>
            <w:r>
              <w:rPr>
                <w:sz w:val="24"/>
              </w:rPr>
              <w:t>the</w:t>
            </w:r>
            <w:r>
              <w:rPr>
                <w:spacing w:val="-4"/>
                <w:sz w:val="24"/>
              </w:rPr>
              <w:t xml:space="preserve"> </w:t>
            </w:r>
            <w:r>
              <w:rPr>
                <w:sz w:val="24"/>
              </w:rPr>
              <w:t>determining</w:t>
            </w:r>
            <w:r>
              <w:rPr>
                <w:spacing w:val="-5"/>
                <w:sz w:val="24"/>
              </w:rPr>
              <w:t xml:space="preserve"> </w:t>
            </w:r>
            <w:r>
              <w:rPr>
                <w:sz w:val="24"/>
              </w:rPr>
              <w:t>factor(s)</w:t>
            </w:r>
            <w:r>
              <w:rPr>
                <w:spacing w:val="-6"/>
                <w:sz w:val="24"/>
              </w:rPr>
              <w:t xml:space="preserve"> </w:t>
            </w:r>
            <w:r>
              <w:rPr>
                <w:sz w:val="24"/>
              </w:rPr>
              <w:t>to</w:t>
            </w:r>
            <w:r>
              <w:rPr>
                <w:spacing w:val="-3"/>
                <w:sz w:val="24"/>
              </w:rPr>
              <w:t xml:space="preserve"> </w:t>
            </w:r>
            <w:r>
              <w:rPr>
                <w:sz w:val="24"/>
              </w:rPr>
              <w:t xml:space="preserve">all local areas across the State, and then determines the percentage of the factor(s) that is applicable </w:t>
            </w:r>
            <w:proofErr w:type="gramStart"/>
            <w:r>
              <w:rPr>
                <w:sz w:val="24"/>
              </w:rPr>
              <w:t>to those</w:t>
            </w:r>
            <w:proofErr w:type="gramEnd"/>
          </w:p>
          <w:p w14:paraId="365A9721" w14:textId="77777777" w:rsidR="00E41A5B" w:rsidRDefault="00DA7B02">
            <w:pPr>
              <w:pStyle w:val="TableParagraph"/>
              <w:spacing w:line="270" w:lineRule="atLeast"/>
              <w:ind w:right="62"/>
              <w:rPr>
                <w:sz w:val="24"/>
              </w:rPr>
            </w:pPr>
            <w:r>
              <w:rPr>
                <w:sz w:val="24"/>
              </w:rPr>
              <w:t>areas</w:t>
            </w:r>
            <w:r>
              <w:rPr>
                <w:spacing w:val="-6"/>
                <w:sz w:val="24"/>
              </w:rPr>
              <w:t xml:space="preserve"> </w:t>
            </w:r>
            <w:r>
              <w:rPr>
                <w:sz w:val="24"/>
              </w:rPr>
              <w:t>that</w:t>
            </w:r>
            <w:r>
              <w:rPr>
                <w:spacing w:val="-6"/>
                <w:sz w:val="24"/>
              </w:rPr>
              <w:t xml:space="preserve"> </w:t>
            </w:r>
            <w:r>
              <w:rPr>
                <w:sz w:val="24"/>
              </w:rPr>
              <w:t>reached</w:t>
            </w:r>
            <w:r>
              <w:rPr>
                <w:spacing w:val="-4"/>
                <w:sz w:val="24"/>
              </w:rPr>
              <w:t xml:space="preserve"> </w:t>
            </w:r>
            <w:r>
              <w:rPr>
                <w:sz w:val="24"/>
              </w:rPr>
              <w:t>consensus,</w:t>
            </w:r>
            <w:r>
              <w:rPr>
                <w:spacing w:val="-7"/>
                <w:sz w:val="24"/>
              </w:rPr>
              <w:t xml:space="preserve"> </w:t>
            </w:r>
            <w:r>
              <w:rPr>
                <w:sz w:val="24"/>
              </w:rPr>
              <w:t>or</w:t>
            </w:r>
            <w:r>
              <w:rPr>
                <w:spacing w:val="-7"/>
                <w:sz w:val="24"/>
              </w:rPr>
              <w:t xml:space="preserve"> </w:t>
            </w:r>
            <w:r>
              <w:rPr>
                <w:sz w:val="24"/>
              </w:rPr>
              <w:t>the</w:t>
            </w:r>
            <w:r>
              <w:rPr>
                <w:spacing w:val="-7"/>
                <w:sz w:val="24"/>
              </w:rPr>
              <w:t xml:space="preserve"> </w:t>
            </w:r>
            <w:r>
              <w:rPr>
                <w:sz w:val="24"/>
              </w:rPr>
              <w:t>consensus</w:t>
            </w:r>
            <w:r>
              <w:rPr>
                <w:spacing w:val="-6"/>
                <w:sz w:val="24"/>
              </w:rPr>
              <w:t xml:space="preserve"> </w:t>
            </w:r>
            <w:r>
              <w:rPr>
                <w:sz w:val="24"/>
              </w:rPr>
              <w:t>areas’ factor percentage.</w:t>
            </w:r>
          </w:p>
        </w:tc>
      </w:tr>
      <w:tr w:rsidR="00E41A5B" w14:paraId="365A9726" w14:textId="77777777">
        <w:trPr>
          <w:trHeight w:val="826"/>
        </w:trPr>
        <w:tc>
          <w:tcPr>
            <w:tcW w:w="4044" w:type="dxa"/>
          </w:tcPr>
          <w:p w14:paraId="365A9723" w14:textId="77777777" w:rsidR="00E41A5B" w:rsidRDefault="00DA7B02">
            <w:pPr>
              <w:pStyle w:val="TableParagraph"/>
              <w:spacing w:before="267"/>
              <w:rPr>
                <w:sz w:val="24"/>
              </w:rPr>
            </w:pPr>
            <w:r>
              <w:rPr>
                <w:sz w:val="24"/>
              </w:rPr>
              <w:t>Sub-Step</w:t>
            </w:r>
            <w:r>
              <w:rPr>
                <w:spacing w:val="-2"/>
                <w:sz w:val="24"/>
              </w:rPr>
              <w:t xml:space="preserve"> </w:t>
            </w:r>
            <w:r>
              <w:rPr>
                <w:spacing w:val="-5"/>
                <w:sz w:val="24"/>
              </w:rPr>
              <w:t>4:</w:t>
            </w:r>
          </w:p>
        </w:tc>
        <w:tc>
          <w:tcPr>
            <w:tcW w:w="5424" w:type="dxa"/>
          </w:tcPr>
          <w:p w14:paraId="365A9724" w14:textId="77777777" w:rsidR="00E41A5B" w:rsidRDefault="00DA7B02">
            <w:pPr>
              <w:pStyle w:val="TableParagraph"/>
              <w:spacing w:line="267" w:lineRule="exact"/>
              <w:rPr>
                <w:sz w:val="24"/>
              </w:rPr>
            </w:pPr>
            <w:r>
              <w:rPr>
                <w:sz w:val="24"/>
              </w:rPr>
              <w:t>The</w:t>
            </w:r>
            <w:r>
              <w:rPr>
                <w:spacing w:val="-4"/>
                <w:sz w:val="24"/>
              </w:rPr>
              <w:t xml:space="preserve"> </w:t>
            </w:r>
            <w:r>
              <w:rPr>
                <w:sz w:val="24"/>
              </w:rPr>
              <w:t>Governor</w:t>
            </w:r>
            <w:r>
              <w:rPr>
                <w:spacing w:val="-2"/>
                <w:sz w:val="24"/>
              </w:rPr>
              <w:t xml:space="preserve"> </w:t>
            </w:r>
            <w:r>
              <w:rPr>
                <w:sz w:val="24"/>
              </w:rPr>
              <w:t>then</w:t>
            </w:r>
            <w:r>
              <w:rPr>
                <w:spacing w:val="-1"/>
                <w:sz w:val="24"/>
              </w:rPr>
              <w:t xml:space="preserve"> </w:t>
            </w:r>
            <w:r>
              <w:rPr>
                <w:sz w:val="24"/>
              </w:rPr>
              <w:t>applies the</w:t>
            </w:r>
            <w:r>
              <w:rPr>
                <w:spacing w:val="-2"/>
                <w:sz w:val="24"/>
              </w:rPr>
              <w:t xml:space="preserve"> </w:t>
            </w:r>
            <w:r>
              <w:rPr>
                <w:sz w:val="24"/>
              </w:rPr>
              <w:t>consensus</w:t>
            </w:r>
            <w:r>
              <w:rPr>
                <w:spacing w:val="-1"/>
                <w:sz w:val="24"/>
              </w:rPr>
              <w:t xml:space="preserve"> </w:t>
            </w:r>
            <w:r>
              <w:rPr>
                <w:sz w:val="24"/>
              </w:rPr>
              <w:t>areas’</w:t>
            </w:r>
            <w:r>
              <w:rPr>
                <w:spacing w:val="-1"/>
                <w:sz w:val="24"/>
              </w:rPr>
              <w:t xml:space="preserve"> </w:t>
            </w:r>
            <w:r>
              <w:rPr>
                <w:spacing w:val="-2"/>
                <w:sz w:val="24"/>
              </w:rPr>
              <w:t>factor</w:t>
            </w:r>
          </w:p>
          <w:p w14:paraId="365A9725" w14:textId="77777777" w:rsidR="00E41A5B" w:rsidRDefault="00DA7B02">
            <w:pPr>
              <w:pStyle w:val="TableParagraph"/>
              <w:spacing w:line="270" w:lineRule="atLeast"/>
              <w:ind w:right="62"/>
              <w:rPr>
                <w:sz w:val="24"/>
              </w:rPr>
            </w:pPr>
            <w:r>
              <w:rPr>
                <w:sz w:val="24"/>
              </w:rPr>
              <w:t>percentage</w:t>
            </w:r>
            <w:r>
              <w:rPr>
                <w:spacing w:val="-6"/>
                <w:sz w:val="24"/>
              </w:rPr>
              <w:t xml:space="preserve"> </w:t>
            </w:r>
            <w:r>
              <w:rPr>
                <w:sz w:val="24"/>
              </w:rPr>
              <w:t>to</w:t>
            </w:r>
            <w:r>
              <w:rPr>
                <w:spacing w:val="-5"/>
                <w:sz w:val="24"/>
              </w:rPr>
              <w:t xml:space="preserve"> </w:t>
            </w:r>
            <w:r>
              <w:rPr>
                <w:sz w:val="24"/>
              </w:rPr>
              <w:t>the</w:t>
            </w:r>
            <w:r>
              <w:rPr>
                <w:spacing w:val="-6"/>
                <w:sz w:val="24"/>
              </w:rPr>
              <w:t xml:space="preserve"> </w:t>
            </w:r>
            <w:r>
              <w:rPr>
                <w:sz w:val="24"/>
              </w:rPr>
              <w:t>MPC</w:t>
            </w:r>
            <w:r>
              <w:rPr>
                <w:spacing w:val="-5"/>
                <w:sz w:val="24"/>
              </w:rPr>
              <w:t xml:space="preserve"> </w:t>
            </w:r>
            <w:r>
              <w:rPr>
                <w:sz w:val="24"/>
              </w:rPr>
              <w:t>to</w:t>
            </w:r>
            <w:r>
              <w:rPr>
                <w:spacing w:val="-5"/>
                <w:sz w:val="24"/>
              </w:rPr>
              <w:t xml:space="preserve"> </w:t>
            </w:r>
            <w:r>
              <w:rPr>
                <w:sz w:val="24"/>
              </w:rPr>
              <w:t>find</w:t>
            </w:r>
            <w:r>
              <w:rPr>
                <w:spacing w:val="-5"/>
                <w:sz w:val="24"/>
              </w:rPr>
              <w:t xml:space="preserve"> </w:t>
            </w:r>
            <w:r>
              <w:rPr>
                <w:sz w:val="24"/>
              </w:rPr>
              <w:t>the</w:t>
            </w:r>
            <w:r>
              <w:rPr>
                <w:spacing w:val="-6"/>
                <w:sz w:val="24"/>
              </w:rPr>
              <w:t xml:space="preserve"> </w:t>
            </w:r>
            <w:r>
              <w:rPr>
                <w:sz w:val="24"/>
              </w:rPr>
              <w:t>consensus</w:t>
            </w:r>
            <w:r>
              <w:rPr>
                <w:spacing w:val="-5"/>
                <w:sz w:val="24"/>
              </w:rPr>
              <w:t xml:space="preserve"> </w:t>
            </w:r>
            <w:r>
              <w:rPr>
                <w:sz w:val="24"/>
              </w:rPr>
              <w:t>areas’ portion of the MPC.</w:t>
            </w:r>
          </w:p>
        </w:tc>
      </w:tr>
      <w:tr w:rsidR="00E41A5B" w14:paraId="365A972B" w14:textId="77777777">
        <w:trPr>
          <w:trHeight w:val="1381"/>
        </w:trPr>
        <w:tc>
          <w:tcPr>
            <w:tcW w:w="4044" w:type="dxa"/>
          </w:tcPr>
          <w:p w14:paraId="365A9727" w14:textId="77777777" w:rsidR="00E41A5B" w:rsidRDefault="00E41A5B">
            <w:pPr>
              <w:pStyle w:val="TableParagraph"/>
              <w:spacing w:before="267"/>
              <w:ind w:left="0"/>
              <w:rPr>
                <w:sz w:val="24"/>
              </w:rPr>
            </w:pPr>
          </w:p>
          <w:p w14:paraId="365A9728" w14:textId="77777777" w:rsidR="00E41A5B" w:rsidRDefault="00DA7B02">
            <w:pPr>
              <w:pStyle w:val="TableParagraph"/>
              <w:rPr>
                <w:sz w:val="24"/>
              </w:rPr>
            </w:pPr>
            <w:r>
              <w:rPr>
                <w:sz w:val="24"/>
              </w:rPr>
              <w:t>Sub-Step</w:t>
            </w:r>
            <w:r>
              <w:rPr>
                <w:spacing w:val="-2"/>
                <w:sz w:val="24"/>
              </w:rPr>
              <w:t xml:space="preserve"> </w:t>
            </w:r>
            <w:r>
              <w:rPr>
                <w:spacing w:val="-5"/>
                <w:sz w:val="24"/>
              </w:rPr>
              <w:t>5:</w:t>
            </w:r>
          </w:p>
        </w:tc>
        <w:tc>
          <w:tcPr>
            <w:tcW w:w="5424" w:type="dxa"/>
          </w:tcPr>
          <w:p w14:paraId="365A9729" w14:textId="77777777" w:rsidR="00E41A5B" w:rsidRDefault="00DA7B02">
            <w:pPr>
              <w:pStyle w:val="TableParagraph"/>
              <w:ind w:right="62"/>
              <w:rPr>
                <w:sz w:val="24"/>
              </w:rPr>
            </w:pPr>
            <w:r>
              <w:rPr>
                <w:sz w:val="24"/>
              </w:rPr>
              <w:t>The Governor subtracts the amount equal to the consensus</w:t>
            </w:r>
            <w:r>
              <w:rPr>
                <w:spacing w:val="-5"/>
                <w:sz w:val="24"/>
              </w:rPr>
              <w:t xml:space="preserve"> </w:t>
            </w:r>
            <w:r>
              <w:rPr>
                <w:sz w:val="24"/>
              </w:rPr>
              <w:t>local</w:t>
            </w:r>
            <w:r>
              <w:rPr>
                <w:spacing w:val="-5"/>
                <w:sz w:val="24"/>
              </w:rPr>
              <w:t xml:space="preserve"> </w:t>
            </w:r>
            <w:r>
              <w:rPr>
                <w:sz w:val="24"/>
              </w:rPr>
              <w:t>areas’</w:t>
            </w:r>
            <w:r>
              <w:rPr>
                <w:spacing w:val="-6"/>
                <w:sz w:val="24"/>
              </w:rPr>
              <w:t xml:space="preserve"> </w:t>
            </w:r>
            <w:r>
              <w:rPr>
                <w:sz w:val="24"/>
              </w:rPr>
              <w:t>portion</w:t>
            </w:r>
            <w:r>
              <w:rPr>
                <w:spacing w:val="-5"/>
                <w:sz w:val="24"/>
              </w:rPr>
              <w:t xml:space="preserve"> </w:t>
            </w:r>
            <w:r>
              <w:rPr>
                <w:sz w:val="24"/>
              </w:rPr>
              <w:t>of</w:t>
            </w:r>
            <w:r>
              <w:rPr>
                <w:spacing w:val="-6"/>
                <w:sz w:val="24"/>
              </w:rPr>
              <w:t xml:space="preserve"> </w:t>
            </w:r>
            <w:r>
              <w:rPr>
                <w:sz w:val="24"/>
              </w:rPr>
              <w:t>the</w:t>
            </w:r>
            <w:r>
              <w:rPr>
                <w:spacing w:val="-6"/>
                <w:sz w:val="24"/>
              </w:rPr>
              <w:t xml:space="preserve"> </w:t>
            </w:r>
            <w:r>
              <w:rPr>
                <w:sz w:val="24"/>
              </w:rPr>
              <w:t>MPC</w:t>
            </w:r>
            <w:r>
              <w:rPr>
                <w:spacing w:val="-5"/>
                <w:sz w:val="24"/>
              </w:rPr>
              <w:t xml:space="preserve"> </w:t>
            </w:r>
            <w:r>
              <w:rPr>
                <w:sz w:val="24"/>
              </w:rPr>
              <w:t>from</w:t>
            </w:r>
            <w:r>
              <w:rPr>
                <w:spacing w:val="-5"/>
                <w:sz w:val="24"/>
              </w:rPr>
              <w:t xml:space="preserve"> </w:t>
            </w:r>
            <w:r>
              <w:rPr>
                <w:sz w:val="24"/>
              </w:rPr>
              <w:t xml:space="preserve">the MPC. The remaining amount is </w:t>
            </w:r>
            <w:proofErr w:type="gramStart"/>
            <w:r>
              <w:rPr>
                <w:sz w:val="24"/>
              </w:rPr>
              <w:t>the applicable</w:t>
            </w:r>
            <w:proofErr w:type="gramEnd"/>
          </w:p>
          <w:p w14:paraId="365A972A" w14:textId="77777777" w:rsidR="00E41A5B" w:rsidRDefault="00DA7B02">
            <w:pPr>
              <w:pStyle w:val="TableParagraph"/>
              <w:spacing w:line="270" w:lineRule="atLeast"/>
              <w:ind w:right="62"/>
              <w:rPr>
                <w:sz w:val="24"/>
              </w:rPr>
            </w:pPr>
            <w:r>
              <w:rPr>
                <w:sz w:val="24"/>
              </w:rPr>
              <w:t>program</w:t>
            </w:r>
            <w:r>
              <w:rPr>
                <w:spacing w:val="-4"/>
                <w:sz w:val="24"/>
              </w:rPr>
              <w:t xml:space="preserve"> </w:t>
            </w:r>
            <w:r>
              <w:rPr>
                <w:sz w:val="24"/>
              </w:rPr>
              <w:t>cap</w:t>
            </w:r>
            <w:r>
              <w:rPr>
                <w:spacing w:val="-4"/>
                <w:sz w:val="24"/>
              </w:rPr>
              <w:t xml:space="preserve"> </w:t>
            </w:r>
            <w:r>
              <w:rPr>
                <w:sz w:val="24"/>
              </w:rPr>
              <w:t>for</w:t>
            </w:r>
            <w:r>
              <w:rPr>
                <w:spacing w:val="-5"/>
                <w:sz w:val="24"/>
              </w:rPr>
              <w:t xml:space="preserve"> </w:t>
            </w:r>
            <w:r>
              <w:rPr>
                <w:sz w:val="24"/>
              </w:rPr>
              <w:t>use</w:t>
            </w:r>
            <w:r>
              <w:rPr>
                <w:spacing w:val="-5"/>
                <w:sz w:val="24"/>
              </w:rPr>
              <w:t xml:space="preserve"> </w:t>
            </w:r>
            <w:r>
              <w:rPr>
                <w:sz w:val="24"/>
              </w:rPr>
              <w:t>in</w:t>
            </w:r>
            <w:r>
              <w:rPr>
                <w:spacing w:val="-4"/>
                <w:sz w:val="24"/>
              </w:rPr>
              <w:t xml:space="preserve"> </w:t>
            </w:r>
            <w:r>
              <w:rPr>
                <w:sz w:val="24"/>
              </w:rPr>
              <w:t>the</w:t>
            </w:r>
            <w:r>
              <w:rPr>
                <w:spacing w:val="-5"/>
                <w:sz w:val="24"/>
              </w:rPr>
              <w:t xml:space="preserve"> </w:t>
            </w:r>
            <w:r>
              <w:rPr>
                <w:sz w:val="24"/>
              </w:rPr>
              <w:t>local</w:t>
            </w:r>
            <w:r>
              <w:rPr>
                <w:spacing w:val="-4"/>
                <w:sz w:val="24"/>
              </w:rPr>
              <w:t xml:space="preserve"> </w:t>
            </w:r>
            <w:r>
              <w:rPr>
                <w:sz w:val="24"/>
              </w:rPr>
              <w:t>areas</w:t>
            </w:r>
            <w:r>
              <w:rPr>
                <w:spacing w:val="-4"/>
                <w:sz w:val="24"/>
              </w:rPr>
              <w:t xml:space="preserve"> </w:t>
            </w:r>
            <w:r>
              <w:rPr>
                <w:sz w:val="24"/>
              </w:rPr>
              <w:t>that</w:t>
            </w:r>
            <w:r>
              <w:rPr>
                <w:spacing w:val="-4"/>
                <w:sz w:val="24"/>
              </w:rPr>
              <w:t xml:space="preserve"> </w:t>
            </w:r>
            <w:r>
              <w:rPr>
                <w:sz w:val="24"/>
              </w:rPr>
              <w:t>have</w:t>
            </w:r>
            <w:r>
              <w:rPr>
                <w:spacing w:val="-5"/>
                <w:sz w:val="24"/>
              </w:rPr>
              <w:t xml:space="preserve"> </w:t>
            </w:r>
            <w:r>
              <w:rPr>
                <w:sz w:val="24"/>
              </w:rPr>
              <w:t>not reached consensus and are subject to the SFM.</w:t>
            </w:r>
          </w:p>
        </w:tc>
      </w:tr>
    </w:tbl>
    <w:p w14:paraId="365A972C" w14:textId="77777777" w:rsidR="00E41A5B" w:rsidRDefault="00E41A5B">
      <w:pPr>
        <w:spacing w:line="270" w:lineRule="atLeast"/>
        <w:rPr>
          <w:sz w:val="24"/>
        </w:rPr>
        <w:sectPr w:rsidR="00E41A5B">
          <w:pgSz w:w="12240" w:h="15840"/>
          <w:pgMar w:top="1360" w:right="80" w:bottom="1540" w:left="140" w:header="0" w:footer="1345" w:gutter="0"/>
          <w:cols w:space="720"/>
        </w:sectPr>
      </w:pPr>
    </w:p>
    <w:p w14:paraId="365A972D" w14:textId="77777777" w:rsidR="00E41A5B" w:rsidRDefault="00DA7B02">
      <w:pPr>
        <w:pStyle w:val="Heading2"/>
        <w:spacing w:before="79" w:line="276" w:lineRule="auto"/>
        <w:ind w:right="1357"/>
      </w:pPr>
      <w:r>
        <w:lastRenderedPageBreak/>
        <w:t>Limiting</w:t>
      </w:r>
      <w:r>
        <w:rPr>
          <w:spacing w:val="-4"/>
        </w:rPr>
        <w:t xml:space="preserve"> </w:t>
      </w:r>
      <w:r>
        <w:t>Percentages</w:t>
      </w:r>
      <w:r>
        <w:rPr>
          <w:spacing w:val="-4"/>
        </w:rPr>
        <w:t xml:space="preserve"> </w:t>
      </w:r>
      <w:r>
        <w:t>for</w:t>
      </w:r>
      <w:r>
        <w:rPr>
          <w:spacing w:val="-5"/>
        </w:rPr>
        <w:t xml:space="preserve"> </w:t>
      </w:r>
      <w:r>
        <w:t>Programmatic</w:t>
      </w:r>
      <w:r>
        <w:rPr>
          <w:spacing w:val="-5"/>
        </w:rPr>
        <w:t xml:space="preserve"> </w:t>
      </w:r>
      <w:r>
        <w:t>Statewide</w:t>
      </w:r>
      <w:r>
        <w:rPr>
          <w:spacing w:val="-5"/>
        </w:rPr>
        <w:t xml:space="preserve"> </w:t>
      </w:r>
      <w:r>
        <w:t>Caps</w:t>
      </w:r>
      <w:r>
        <w:rPr>
          <w:spacing w:val="-4"/>
        </w:rPr>
        <w:t xml:space="preserve"> </w:t>
      </w:r>
      <w:r>
        <w:t>on</w:t>
      </w:r>
      <w:r>
        <w:rPr>
          <w:spacing w:val="-4"/>
        </w:rPr>
        <w:t xml:space="preserve"> </w:t>
      </w:r>
      <w:r>
        <w:t>Infrastructure</w:t>
      </w:r>
      <w:r>
        <w:rPr>
          <w:spacing w:val="-5"/>
        </w:rPr>
        <w:t xml:space="preserve"> </w:t>
      </w:r>
      <w:r>
        <w:t>Funding</w:t>
      </w:r>
      <w:r>
        <w:rPr>
          <w:spacing w:val="-4"/>
        </w:rPr>
        <w:t xml:space="preserve"> </w:t>
      </w:r>
      <w:r>
        <w:t>Under the State Funding Mechanism:</w:t>
      </w:r>
    </w:p>
    <w:p w14:paraId="365A972E" w14:textId="77777777" w:rsidR="00E41A5B" w:rsidRDefault="00E41A5B">
      <w:pPr>
        <w:pStyle w:val="BodyText"/>
        <w:spacing w:before="5" w:after="1"/>
        <w:jc w:val="left"/>
        <w:rPr>
          <w:b/>
          <w:sz w:val="17"/>
        </w:rPr>
      </w:pPr>
    </w:p>
    <w:tbl>
      <w:tblPr>
        <w:tblW w:w="0" w:type="auto"/>
        <w:tblInd w:w="13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23"/>
        <w:gridCol w:w="5345"/>
      </w:tblGrid>
      <w:tr w:rsidR="00E41A5B" w14:paraId="365A9731" w14:textId="77777777">
        <w:trPr>
          <w:trHeight w:val="226"/>
        </w:trPr>
        <w:tc>
          <w:tcPr>
            <w:tcW w:w="4123" w:type="dxa"/>
            <w:tcBorders>
              <w:bottom w:val="thinThickMediumGap" w:sz="6" w:space="0" w:color="000000"/>
            </w:tcBorders>
          </w:tcPr>
          <w:p w14:paraId="365A972F" w14:textId="77777777" w:rsidR="00E41A5B" w:rsidRDefault="00DA7B02">
            <w:pPr>
              <w:pStyle w:val="TableParagraph"/>
              <w:spacing w:line="207" w:lineRule="exact"/>
              <w:ind w:left="1372"/>
              <w:rPr>
                <w:b/>
              </w:rPr>
            </w:pPr>
            <w:r>
              <w:rPr>
                <w:b/>
              </w:rPr>
              <w:t>Program</w:t>
            </w:r>
            <w:r>
              <w:rPr>
                <w:b/>
                <w:spacing w:val="-6"/>
              </w:rPr>
              <w:t xml:space="preserve"> </w:t>
            </w:r>
            <w:r>
              <w:rPr>
                <w:b/>
                <w:spacing w:val="-4"/>
              </w:rPr>
              <w:t>Type</w:t>
            </w:r>
          </w:p>
        </w:tc>
        <w:tc>
          <w:tcPr>
            <w:tcW w:w="5345" w:type="dxa"/>
            <w:tcBorders>
              <w:bottom w:val="thinThickMediumGap" w:sz="6" w:space="0" w:color="000000"/>
            </w:tcBorders>
          </w:tcPr>
          <w:p w14:paraId="365A9730" w14:textId="77777777" w:rsidR="00E41A5B" w:rsidRDefault="00DA7B02">
            <w:pPr>
              <w:pStyle w:val="TableParagraph"/>
              <w:spacing w:line="207" w:lineRule="exact"/>
              <w:ind w:left="180" w:right="169"/>
              <w:jc w:val="center"/>
              <w:rPr>
                <w:b/>
              </w:rPr>
            </w:pPr>
            <w:r>
              <w:rPr>
                <w:b/>
              </w:rPr>
              <w:t>Limiting</w:t>
            </w:r>
            <w:r>
              <w:rPr>
                <w:b/>
                <w:spacing w:val="-8"/>
              </w:rPr>
              <w:t xml:space="preserve"> </w:t>
            </w:r>
            <w:r>
              <w:rPr>
                <w:b/>
                <w:spacing w:val="-2"/>
              </w:rPr>
              <w:t>Percentage</w:t>
            </w:r>
          </w:p>
        </w:tc>
      </w:tr>
      <w:tr w:rsidR="00E41A5B" w14:paraId="365A9735" w14:textId="77777777">
        <w:trPr>
          <w:trHeight w:val="529"/>
        </w:trPr>
        <w:tc>
          <w:tcPr>
            <w:tcW w:w="4123" w:type="dxa"/>
            <w:tcBorders>
              <w:top w:val="thickThinMediumGap" w:sz="6" w:space="0" w:color="000000"/>
            </w:tcBorders>
          </w:tcPr>
          <w:p w14:paraId="365A9732" w14:textId="77777777" w:rsidR="00E41A5B" w:rsidRDefault="00DA7B02">
            <w:pPr>
              <w:pStyle w:val="TableParagraph"/>
              <w:spacing w:line="245" w:lineRule="exact"/>
              <w:rPr>
                <w:sz w:val="24"/>
              </w:rPr>
            </w:pPr>
            <w:r>
              <w:rPr>
                <w:sz w:val="24"/>
              </w:rPr>
              <w:t>WIOA</w:t>
            </w:r>
            <w:r>
              <w:rPr>
                <w:spacing w:val="-4"/>
                <w:sz w:val="24"/>
              </w:rPr>
              <w:t xml:space="preserve"> </w:t>
            </w:r>
            <w:r>
              <w:rPr>
                <w:sz w:val="24"/>
              </w:rPr>
              <w:t>title I</w:t>
            </w:r>
            <w:r>
              <w:rPr>
                <w:spacing w:val="-5"/>
                <w:sz w:val="24"/>
              </w:rPr>
              <w:t xml:space="preserve"> </w:t>
            </w:r>
            <w:r>
              <w:rPr>
                <w:sz w:val="24"/>
              </w:rPr>
              <w:t>programs</w:t>
            </w:r>
            <w:r>
              <w:rPr>
                <w:spacing w:val="-1"/>
                <w:sz w:val="24"/>
              </w:rPr>
              <w:t xml:space="preserve"> </w:t>
            </w:r>
            <w:r>
              <w:rPr>
                <w:sz w:val="24"/>
              </w:rPr>
              <w:t>(youth,</w:t>
            </w:r>
            <w:r>
              <w:rPr>
                <w:spacing w:val="-1"/>
                <w:sz w:val="24"/>
              </w:rPr>
              <w:t xml:space="preserve"> </w:t>
            </w:r>
            <w:r>
              <w:rPr>
                <w:sz w:val="24"/>
              </w:rPr>
              <w:t xml:space="preserve">adult, </w:t>
            </w:r>
            <w:r>
              <w:rPr>
                <w:spacing w:val="-5"/>
                <w:sz w:val="24"/>
              </w:rPr>
              <w:t>or</w:t>
            </w:r>
          </w:p>
          <w:p w14:paraId="365A9733" w14:textId="77777777" w:rsidR="00E41A5B" w:rsidRDefault="00DA7B02">
            <w:pPr>
              <w:pStyle w:val="TableParagraph"/>
              <w:spacing w:line="264" w:lineRule="exact"/>
              <w:rPr>
                <w:sz w:val="24"/>
              </w:rPr>
            </w:pPr>
            <w:r>
              <w:rPr>
                <w:sz w:val="24"/>
              </w:rPr>
              <w:t>dislocated</w:t>
            </w:r>
            <w:r>
              <w:rPr>
                <w:spacing w:val="-3"/>
                <w:sz w:val="24"/>
              </w:rPr>
              <w:t xml:space="preserve"> </w:t>
            </w:r>
            <w:r>
              <w:rPr>
                <w:spacing w:val="-2"/>
                <w:sz w:val="24"/>
              </w:rPr>
              <w:t>worker)</w:t>
            </w:r>
          </w:p>
        </w:tc>
        <w:tc>
          <w:tcPr>
            <w:tcW w:w="5345" w:type="dxa"/>
            <w:tcBorders>
              <w:top w:val="thickThinMediumGap" w:sz="6" w:space="0" w:color="000000"/>
            </w:tcBorders>
          </w:tcPr>
          <w:p w14:paraId="365A9734" w14:textId="77777777" w:rsidR="00E41A5B" w:rsidRDefault="00DA7B02">
            <w:pPr>
              <w:pStyle w:val="TableParagraph"/>
              <w:spacing w:line="245" w:lineRule="exact"/>
              <w:ind w:left="10"/>
              <w:jc w:val="center"/>
              <w:rPr>
                <w:sz w:val="24"/>
              </w:rPr>
            </w:pPr>
            <w:r>
              <w:rPr>
                <w:spacing w:val="-5"/>
                <w:sz w:val="24"/>
              </w:rPr>
              <w:t>3%</w:t>
            </w:r>
          </w:p>
        </w:tc>
      </w:tr>
      <w:tr w:rsidR="00E41A5B" w14:paraId="365A9738" w14:textId="77777777">
        <w:trPr>
          <w:trHeight w:val="275"/>
        </w:trPr>
        <w:tc>
          <w:tcPr>
            <w:tcW w:w="4123" w:type="dxa"/>
          </w:tcPr>
          <w:p w14:paraId="365A9736" w14:textId="77777777" w:rsidR="00E41A5B" w:rsidRDefault="00DA7B02">
            <w:pPr>
              <w:pStyle w:val="TableParagraph"/>
              <w:spacing w:line="256" w:lineRule="exact"/>
              <w:rPr>
                <w:sz w:val="24"/>
              </w:rPr>
            </w:pPr>
            <w:r>
              <w:rPr>
                <w:sz w:val="24"/>
              </w:rPr>
              <w:t>Wagner-Peyser</w:t>
            </w:r>
            <w:r>
              <w:rPr>
                <w:spacing w:val="-4"/>
                <w:sz w:val="24"/>
              </w:rPr>
              <w:t xml:space="preserve"> </w:t>
            </w:r>
            <w:r>
              <w:rPr>
                <w:sz w:val="24"/>
              </w:rPr>
              <w:t>Act</w:t>
            </w:r>
            <w:r>
              <w:rPr>
                <w:spacing w:val="-4"/>
                <w:sz w:val="24"/>
              </w:rPr>
              <w:t xml:space="preserve"> </w:t>
            </w:r>
            <w:r>
              <w:rPr>
                <w:spacing w:val="-5"/>
                <w:sz w:val="24"/>
              </w:rPr>
              <w:t>ES</w:t>
            </w:r>
          </w:p>
        </w:tc>
        <w:tc>
          <w:tcPr>
            <w:tcW w:w="5345" w:type="dxa"/>
          </w:tcPr>
          <w:p w14:paraId="365A9737" w14:textId="77777777" w:rsidR="00E41A5B" w:rsidRDefault="00DA7B02">
            <w:pPr>
              <w:pStyle w:val="TableParagraph"/>
              <w:spacing w:line="256" w:lineRule="exact"/>
              <w:ind w:left="10"/>
              <w:jc w:val="center"/>
              <w:rPr>
                <w:sz w:val="24"/>
              </w:rPr>
            </w:pPr>
            <w:r>
              <w:rPr>
                <w:spacing w:val="-5"/>
                <w:sz w:val="24"/>
              </w:rPr>
              <w:t>3%</w:t>
            </w:r>
          </w:p>
        </w:tc>
      </w:tr>
      <w:tr w:rsidR="00E41A5B" w14:paraId="365A973B" w14:textId="77777777">
        <w:trPr>
          <w:trHeight w:val="275"/>
        </w:trPr>
        <w:tc>
          <w:tcPr>
            <w:tcW w:w="4123" w:type="dxa"/>
          </w:tcPr>
          <w:p w14:paraId="365A9739" w14:textId="77777777" w:rsidR="00E41A5B" w:rsidRDefault="00DA7B02">
            <w:pPr>
              <w:pStyle w:val="TableParagraph"/>
              <w:spacing w:line="256" w:lineRule="exact"/>
              <w:rPr>
                <w:sz w:val="24"/>
              </w:rPr>
            </w:pPr>
            <w:r>
              <w:rPr>
                <w:spacing w:val="-2"/>
                <w:sz w:val="24"/>
              </w:rPr>
              <w:t>AEFLA</w:t>
            </w:r>
          </w:p>
        </w:tc>
        <w:tc>
          <w:tcPr>
            <w:tcW w:w="5345" w:type="dxa"/>
          </w:tcPr>
          <w:p w14:paraId="365A973A" w14:textId="77777777" w:rsidR="00E41A5B" w:rsidRDefault="00DA7B02">
            <w:pPr>
              <w:pStyle w:val="TableParagraph"/>
              <w:spacing w:line="256" w:lineRule="exact"/>
              <w:ind w:left="12"/>
              <w:jc w:val="center"/>
              <w:rPr>
                <w:sz w:val="24"/>
              </w:rPr>
            </w:pPr>
            <w:r>
              <w:rPr>
                <w:spacing w:val="-4"/>
                <w:sz w:val="24"/>
              </w:rPr>
              <w:t>1.5%</w:t>
            </w:r>
          </w:p>
        </w:tc>
      </w:tr>
      <w:tr w:rsidR="00E41A5B" w14:paraId="365A973F" w14:textId="77777777">
        <w:trPr>
          <w:trHeight w:val="1103"/>
        </w:trPr>
        <w:tc>
          <w:tcPr>
            <w:tcW w:w="4123" w:type="dxa"/>
          </w:tcPr>
          <w:p w14:paraId="365A973C" w14:textId="77777777" w:rsidR="00E41A5B" w:rsidRDefault="00DA7B02">
            <w:pPr>
              <w:pStyle w:val="TableParagraph"/>
              <w:spacing w:line="268" w:lineRule="exact"/>
              <w:rPr>
                <w:sz w:val="24"/>
              </w:rPr>
            </w:pPr>
            <w:r>
              <w:rPr>
                <w:sz w:val="24"/>
              </w:rPr>
              <w:t xml:space="preserve">Perkins </w:t>
            </w:r>
            <w:r>
              <w:rPr>
                <w:spacing w:val="-5"/>
                <w:sz w:val="24"/>
              </w:rPr>
              <w:t>IV</w:t>
            </w:r>
          </w:p>
        </w:tc>
        <w:tc>
          <w:tcPr>
            <w:tcW w:w="5345" w:type="dxa"/>
          </w:tcPr>
          <w:p w14:paraId="365A973D" w14:textId="77777777" w:rsidR="00E41A5B" w:rsidRDefault="00DA7B02">
            <w:pPr>
              <w:pStyle w:val="TableParagraph"/>
              <w:ind w:left="417" w:right="341" w:hanging="60"/>
              <w:jc w:val="both"/>
              <w:rPr>
                <w:sz w:val="24"/>
              </w:rPr>
            </w:pPr>
            <w:r>
              <w:rPr>
                <w:sz w:val="24"/>
              </w:rPr>
              <w:t>1.5%</w:t>
            </w:r>
            <w:r>
              <w:rPr>
                <w:spacing w:val="-7"/>
                <w:sz w:val="24"/>
              </w:rPr>
              <w:t xml:space="preserve"> </w:t>
            </w:r>
            <w:r>
              <w:rPr>
                <w:sz w:val="24"/>
              </w:rPr>
              <w:t>of</w:t>
            </w:r>
            <w:r>
              <w:rPr>
                <w:spacing w:val="-7"/>
                <w:sz w:val="24"/>
              </w:rPr>
              <w:t xml:space="preserve"> </w:t>
            </w:r>
            <w:r>
              <w:rPr>
                <w:sz w:val="24"/>
              </w:rPr>
              <w:t>funds</w:t>
            </w:r>
            <w:r>
              <w:rPr>
                <w:spacing w:val="-6"/>
                <w:sz w:val="24"/>
              </w:rPr>
              <w:t xml:space="preserve"> </w:t>
            </w:r>
            <w:r>
              <w:rPr>
                <w:sz w:val="24"/>
              </w:rPr>
              <w:t>made</w:t>
            </w:r>
            <w:r>
              <w:rPr>
                <w:spacing w:val="-5"/>
                <w:sz w:val="24"/>
              </w:rPr>
              <w:t xml:space="preserve"> </w:t>
            </w:r>
            <w:r>
              <w:rPr>
                <w:sz w:val="24"/>
              </w:rPr>
              <w:t>available</w:t>
            </w:r>
            <w:r>
              <w:rPr>
                <w:spacing w:val="-7"/>
                <w:sz w:val="24"/>
              </w:rPr>
              <w:t xml:space="preserve"> </w:t>
            </w:r>
            <w:r>
              <w:rPr>
                <w:sz w:val="24"/>
              </w:rPr>
              <w:t>for</w:t>
            </w:r>
            <w:r>
              <w:rPr>
                <w:spacing w:val="-7"/>
                <w:sz w:val="24"/>
              </w:rPr>
              <w:t xml:space="preserve"> </w:t>
            </w:r>
            <w:r>
              <w:rPr>
                <w:sz w:val="24"/>
              </w:rPr>
              <w:t>postsecondary level programs and activities and funds used to administer postsecondary level programs and</w:t>
            </w:r>
          </w:p>
          <w:p w14:paraId="365A973E" w14:textId="77777777" w:rsidR="00E41A5B" w:rsidRDefault="00DA7B02">
            <w:pPr>
              <w:pStyle w:val="TableParagraph"/>
              <w:spacing w:line="264" w:lineRule="exact"/>
              <w:ind w:left="1440"/>
              <w:jc w:val="both"/>
              <w:rPr>
                <w:sz w:val="24"/>
              </w:rPr>
            </w:pPr>
            <w:r>
              <w:rPr>
                <w:sz w:val="24"/>
              </w:rPr>
              <w:t>activities</w:t>
            </w:r>
            <w:r>
              <w:rPr>
                <w:spacing w:val="-3"/>
                <w:sz w:val="24"/>
              </w:rPr>
              <w:t xml:space="preserve"> </w:t>
            </w:r>
            <w:r>
              <w:rPr>
                <w:sz w:val="24"/>
              </w:rPr>
              <w:t>in</w:t>
            </w:r>
            <w:r>
              <w:rPr>
                <w:spacing w:val="-1"/>
                <w:sz w:val="24"/>
              </w:rPr>
              <w:t xml:space="preserve"> </w:t>
            </w:r>
            <w:r>
              <w:rPr>
                <w:sz w:val="24"/>
              </w:rPr>
              <w:t>the</w:t>
            </w:r>
            <w:r>
              <w:rPr>
                <w:spacing w:val="-2"/>
                <w:sz w:val="24"/>
              </w:rPr>
              <w:t xml:space="preserve"> </w:t>
            </w:r>
            <w:r>
              <w:rPr>
                <w:sz w:val="24"/>
              </w:rPr>
              <w:t xml:space="preserve">prior </w:t>
            </w:r>
            <w:r>
              <w:rPr>
                <w:spacing w:val="-4"/>
                <w:sz w:val="24"/>
              </w:rPr>
              <w:t>year</w:t>
            </w:r>
          </w:p>
        </w:tc>
      </w:tr>
      <w:tr w:rsidR="00E41A5B" w14:paraId="365A9746" w14:textId="77777777">
        <w:trPr>
          <w:trHeight w:val="1725"/>
        </w:trPr>
        <w:tc>
          <w:tcPr>
            <w:tcW w:w="4123" w:type="dxa"/>
          </w:tcPr>
          <w:p w14:paraId="365A9740" w14:textId="77777777" w:rsidR="00E41A5B" w:rsidRDefault="00DA7B02">
            <w:pPr>
              <w:pStyle w:val="TableParagraph"/>
              <w:spacing w:line="268" w:lineRule="exact"/>
              <w:rPr>
                <w:sz w:val="24"/>
              </w:rPr>
            </w:pPr>
            <w:r>
              <w:rPr>
                <w:spacing w:val="-5"/>
                <w:sz w:val="24"/>
              </w:rPr>
              <w:t>VR</w:t>
            </w:r>
          </w:p>
          <w:p w14:paraId="365A9741" w14:textId="77777777" w:rsidR="00E41A5B" w:rsidRDefault="00DA7B02">
            <w:pPr>
              <w:pStyle w:val="TableParagraph"/>
              <w:numPr>
                <w:ilvl w:val="0"/>
                <w:numId w:val="17"/>
              </w:numPr>
              <w:tabs>
                <w:tab w:val="left" w:pos="827"/>
              </w:tabs>
              <w:spacing w:before="2" w:line="293" w:lineRule="exact"/>
              <w:rPr>
                <w:sz w:val="24"/>
              </w:rPr>
            </w:pPr>
            <w:r>
              <w:rPr>
                <w:sz w:val="24"/>
              </w:rPr>
              <w:t>PY</w:t>
            </w:r>
            <w:r>
              <w:rPr>
                <w:spacing w:val="-1"/>
                <w:sz w:val="24"/>
              </w:rPr>
              <w:t xml:space="preserve"> </w:t>
            </w:r>
            <w:r>
              <w:rPr>
                <w:spacing w:val="-4"/>
                <w:sz w:val="24"/>
              </w:rPr>
              <w:t>2017</w:t>
            </w:r>
          </w:p>
          <w:p w14:paraId="365A9742" w14:textId="77777777" w:rsidR="00E41A5B" w:rsidRDefault="00DA7B02">
            <w:pPr>
              <w:pStyle w:val="TableParagraph"/>
              <w:numPr>
                <w:ilvl w:val="0"/>
                <w:numId w:val="17"/>
              </w:numPr>
              <w:tabs>
                <w:tab w:val="left" w:pos="827"/>
              </w:tabs>
              <w:spacing w:line="293" w:lineRule="exact"/>
              <w:rPr>
                <w:sz w:val="24"/>
              </w:rPr>
            </w:pPr>
            <w:r>
              <w:rPr>
                <w:sz w:val="24"/>
              </w:rPr>
              <w:t>PY</w:t>
            </w:r>
            <w:r>
              <w:rPr>
                <w:spacing w:val="-1"/>
                <w:sz w:val="24"/>
              </w:rPr>
              <w:t xml:space="preserve"> </w:t>
            </w:r>
            <w:r>
              <w:rPr>
                <w:spacing w:val="-4"/>
                <w:sz w:val="24"/>
              </w:rPr>
              <w:t>2018</w:t>
            </w:r>
          </w:p>
          <w:p w14:paraId="365A9743" w14:textId="77777777" w:rsidR="00E41A5B" w:rsidRDefault="00DA7B02">
            <w:pPr>
              <w:pStyle w:val="TableParagraph"/>
              <w:numPr>
                <w:ilvl w:val="0"/>
                <w:numId w:val="17"/>
              </w:numPr>
              <w:tabs>
                <w:tab w:val="left" w:pos="827"/>
              </w:tabs>
              <w:spacing w:line="293" w:lineRule="exact"/>
              <w:rPr>
                <w:sz w:val="24"/>
              </w:rPr>
            </w:pPr>
            <w:r>
              <w:rPr>
                <w:sz w:val="24"/>
              </w:rPr>
              <w:t>PY</w:t>
            </w:r>
            <w:r>
              <w:rPr>
                <w:spacing w:val="-1"/>
                <w:sz w:val="24"/>
              </w:rPr>
              <w:t xml:space="preserve"> </w:t>
            </w:r>
            <w:r>
              <w:rPr>
                <w:spacing w:val="-4"/>
                <w:sz w:val="24"/>
              </w:rPr>
              <w:t>2019</w:t>
            </w:r>
          </w:p>
          <w:p w14:paraId="365A9744" w14:textId="77777777" w:rsidR="00E41A5B" w:rsidRDefault="00DA7B02">
            <w:pPr>
              <w:pStyle w:val="TableParagraph"/>
              <w:numPr>
                <w:ilvl w:val="0"/>
                <w:numId w:val="17"/>
              </w:numPr>
              <w:tabs>
                <w:tab w:val="left" w:pos="827"/>
              </w:tabs>
              <w:spacing w:before="1"/>
              <w:rPr>
                <w:sz w:val="24"/>
              </w:rPr>
            </w:pPr>
            <w:r>
              <w:rPr>
                <w:sz w:val="24"/>
              </w:rPr>
              <w:t>PY</w:t>
            </w:r>
            <w:r>
              <w:rPr>
                <w:spacing w:val="-2"/>
                <w:sz w:val="24"/>
              </w:rPr>
              <w:t xml:space="preserve"> </w:t>
            </w:r>
            <w:r>
              <w:rPr>
                <w:sz w:val="24"/>
              </w:rPr>
              <w:t>2020</w:t>
            </w:r>
            <w:r>
              <w:rPr>
                <w:spacing w:val="-1"/>
                <w:sz w:val="24"/>
              </w:rPr>
              <w:t xml:space="preserve"> </w:t>
            </w:r>
            <w:r>
              <w:rPr>
                <w:sz w:val="24"/>
              </w:rPr>
              <w:t>and</w:t>
            </w:r>
            <w:r>
              <w:rPr>
                <w:spacing w:val="-1"/>
                <w:sz w:val="24"/>
              </w:rPr>
              <w:t xml:space="preserve"> </w:t>
            </w:r>
            <w:r>
              <w:rPr>
                <w:sz w:val="24"/>
              </w:rPr>
              <w:t>subsequent</w:t>
            </w:r>
            <w:r>
              <w:rPr>
                <w:spacing w:val="2"/>
                <w:sz w:val="24"/>
              </w:rPr>
              <w:t xml:space="preserve"> </w:t>
            </w:r>
            <w:r>
              <w:rPr>
                <w:spacing w:val="-4"/>
                <w:sz w:val="24"/>
              </w:rPr>
              <w:t>years</w:t>
            </w:r>
          </w:p>
        </w:tc>
        <w:tc>
          <w:tcPr>
            <w:tcW w:w="5345" w:type="dxa"/>
          </w:tcPr>
          <w:p w14:paraId="365A9745" w14:textId="77777777" w:rsidR="00E41A5B" w:rsidRDefault="00DA7B02">
            <w:pPr>
              <w:pStyle w:val="TableParagraph"/>
              <w:spacing w:before="267"/>
              <w:ind w:left="307" w:right="296" w:firstLine="2"/>
              <w:jc w:val="center"/>
              <w:rPr>
                <w:sz w:val="24"/>
              </w:rPr>
            </w:pPr>
            <w:r>
              <w:rPr>
                <w:sz w:val="24"/>
              </w:rPr>
              <w:t>0.75% of Fiscal Year 2016 Federal VR funding 1% of Fiscal Year 2017 Federal VR funding 1.25% of Fiscal Year 2018 Federal VR funding 1.5%</w:t>
            </w:r>
            <w:r>
              <w:rPr>
                <w:spacing w:val="-6"/>
                <w:sz w:val="24"/>
              </w:rPr>
              <w:t xml:space="preserve"> </w:t>
            </w:r>
            <w:r>
              <w:rPr>
                <w:sz w:val="24"/>
              </w:rPr>
              <w:t>of</w:t>
            </w:r>
            <w:r>
              <w:rPr>
                <w:spacing w:val="-6"/>
                <w:sz w:val="24"/>
              </w:rPr>
              <w:t xml:space="preserve"> </w:t>
            </w:r>
            <w:r>
              <w:rPr>
                <w:sz w:val="24"/>
              </w:rPr>
              <w:t>Fiscal</w:t>
            </w:r>
            <w:r>
              <w:rPr>
                <w:spacing w:val="-6"/>
                <w:sz w:val="24"/>
              </w:rPr>
              <w:t xml:space="preserve"> </w:t>
            </w:r>
            <w:r>
              <w:rPr>
                <w:sz w:val="24"/>
              </w:rPr>
              <w:t>Year</w:t>
            </w:r>
            <w:r>
              <w:rPr>
                <w:spacing w:val="-6"/>
                <w:sz w:val="24"/>
              </w:rPr>
              <w:t xml:space="preserve"> </w:t>
            </w:r>
            <w:r>
              <w:rPr>
                <w:sz w:val="24"/>
              </w:rPr>
              <w:t>2019</w:t>
            </w:r>
            <w:r>
              <w:rPr>
                <w:spacing w:val="-6"/>
                <w:sz w:val="24"/>
              </w:rPr>
              <w:t xml:space="preserve"> </w:t>
            </w:r>
            <w:r>
              <w:rPr>
                <w:sz w:val="24"/>
              </w:rPr>
              <w:t>(or</w:t>
            </w:r>
            <w:r>
              <w:rPr>
                <w:spacing w:val="-6"/>
                <w:sz w:val="24"/>
              </w:rPr>
              <w:t xml:space="preserve"> </w:t>
            </w:r>
            <w:r>
              <w:rPr>
                <w:sz w:val="24"/>
              </w:rPr>
              <w:t>applicable</w:t>
            </w:r>
            <w:r>
              <w:rPr>
                <w:spacing w:val="-6"/>
                <w:sz w:val="24"/>
              </w:rPr>
              <w:t xml:space="preserve"> </w:t>
            </w:r>
            <w:r>
              <w:rPr>
                <w:sz w:val="24"/>
              </w:rPr>
              <w:t>previous year) Federal VR funding</w:t>
            </w:r>
          </w:p>
        </w:tc>
      </w:tr>
      <w:tr w:rsidR="00E41A5B" w14:paraId="365A974A" w14:textId="77777777">
        <w:trPr>
          <w:trHeight w:val="827"/>
        </w:trPr>
        <w:tc>
          <w:tcPr>
            <w:tcW w:w="4123" w:type="dxa"/>
          </w:tcPr>
          <w:p w14:paraId="365A9747" w14:textId="77777777" w:rsidR="00E41A5B" w:rsidRDefault="00DA7B02">
            <w:pPr>
              <w:pStyle w:val="TableParagraph"/>
              <w:spacing w:line="268" w:lineRule="exact"/>
              <w:rPr>
                <w:sz w:val="24"/>
              </w:rPr>
            </w:pPr>
            <w:r>
              <w:rPr>
                <w:spacing w:val="-4"/>
                <w:sz w:val="24"/>
              </w:rPr>
              <w:t>TANF</w:t>
            </w:r>
          </w:p>
        </w:tc>
        <w:tc>
          <w:tcPr>
            <w:tcW w:w="5345" w:type="dxa"/>
          </w:tcPr>
          <w:p w14:paraId="365A9748" w14:textId="77777777" w:rsidR="00E41A5B" w:rsidRDefault="00DA7B02">
            <w:pPr>
              <w:pStyle w:val="TableParagraph"/>
              <w:ind w:left="119" w:right="106" w:hanging="2"/>
              <w:jc w:val="center"/>
              <w:rPr>
                <w:sz w:val="24"/>
              </w:rPr>
            </w:pPr>
            <w:r>
              <w:rPr>
                <w:sz w:val="24"/>
              </w:rPr>
              <w:t>1.5%</w:t>
            </w:r>
            <w:r>
              <w:rPr>
                <w:spacing w:val="-1"/>
                <w:sz w:val="24"/>
              </w:rPr>
              <w:t xml:space="preserve"> </w:t>
            </w:r>
            <w:r>
              <w:rPr>
                <w:sz w:val="24"/>
              </w:rPr>
              <w:t>of</w:t>
            </w:r>
            <w:r>
              <w:rPr>
                <w:spacing w:val="-1"/>
                <w:sz w:val="24"/>
              </w:rPr>
              <w:t xml:space="preserve"> </w:t>
            </w:r>
            <w:r>
              <w:rPr>
                <w:sz w:val="24"/>
              </w:rPr>
              <w:t>funds from the</w:t>
            </w:r>
            <w:r>
              <w:rPr>
                <w:spacing w:val="-1"/>
                <w:sz w:val="24"/>
              </w:rPr>
              <w:t xml:space="preserve"> </w:t>
            </w:r>
            <w:r>
              <w:rPr>
                <w:sz w:val="24"/>
              </w:rPr>
              <w:t>previous year</w:t>
            </w:r>
            <w:r>
              <w:rPr>
                <w:spacing w:val="-1"/>
                <w:sz w:val="24"/>
              </w:rPr>
              <w:t xml:space="preserve"> </w:t>
            </w:r>
            <w:r>
              <w:rPr>
                <w:sz w:val="24"/>
              </w:rPr>
              <w:t>spent on work, education,</w:t>
            </w:r>
            <w:r>
              <w:rPr>
                <w:spacing w:val="-1"/>
                <w:sz w:val="24"/>
              </w:rPr>
              <w:t xml:space="preserve"> </w:t>
            </w:r>
            <w:r>
              <w:rPr>
                <w:sz w:val="24"/>
              </w:rPr>
              <w:t>and</w:t>
            </w:r>
            <w:r>
              <w:rPr>
                <w:spacing w:val="-1"/>
                <w:sz w:val="24"/>
              </w:rPr>
              <w:t xml:space="preserve"> </w:t>
            </w:r>
            <w:r>
              <w:rPr>
                <w:sz w:val="24"/>
              </w:rPr>
              <w:t>training</w:t>
            </w:r>
            <w:r>
              <w:rPr>
                <w:spacing w:val="-1"/>
                <w:sz w:val="24"/>
              </w:rPr>
              <w:t xml:space="preserve"> </w:t>
            </w:r>
            <w:r>
              <w:rPr>
                <w:sz w:val="24"/>
              </w:rPr>
              <w:t>activities, plus</w:t>
            </w:r>
            <w:r>
              <w:rPr>
                <w:spacing w:val="-1"/>
                <w:sz w:val="24"/>
              </w:rPr>
              <w:t xml:space="preserve"> </w:t>
            </w:r>
            <w:r>
              <w:rPr>
                <w:sz w:val="24"/>
              </w:rPr>
              <w:t>any</w:t>
            </w:r>
            <w:r>
              <w:rPr>
                <w:spacing w:val="-5"/>
                <w:sz w:val="24"/>
              </w:rPr>
              <w:t xml:space="preserve"> </w:t>
            </w:r>
            <w:r>
              <w:rPr>
                <w:spacing w:val="-2"/>
                <w:sz w:val="24"/>
              </w:rPr>
              <w:t>associated</w:t>
            </w:r>
          </w:p>
          <w:p w14:paraId="365A9749" w14:textId="77777777" w:rsidR="00E41A5B" w:rsidRDefault="00DA7B02">
            <w:pPr>
              <w:pStyle w:val="TableParagraph"/>
              <w:spacing w:line="264" w:lineRule="exact"/>
              <w:ind w:left="9"/>
              <w:jc w:val="center"/>
              <w:rPr>
                <w:sz w:val="24"/>
              </w:rPr>
            </w:pPr>
            <w:r>
              <w:rPr>
                <w:sz w:val="24"/>
              </w:rPr>
              <w:t>administrative</w:t>
            </w:r>
            <w:r>
              <w:rPr>
                <w:spacing w:val="-4"/>
                <w:sz w:val="24"/>
              </w:rPr>
              <w:t xml:space="preserve"> </w:t>
            </w:r>
            <w:r>
              <w:rPr>
                <w:spacing w:val="-2"/>
                <w:sz w:val="24"/>
              </w:rPr>
              <w:t>costs</w:t>
            </w:r>
          </w:p>
        </w:tc>
      </w:tr>
      <w:tr w:rsidR="00E41A5B" w14:paraId="365A974E" w14:textId="77777777">
        <w:trPr>
          <w:trHeight w:val="1103"/>
        </w:trPr>
        <w:tc>
          <w:tcPr>
            <w:tcW w:w="4123" w:type="dxa"/>
          </w:tcPr>
          <w:p w14:paraId="365A974B" w14:textId="77777777" w:rsidR="00E41A5B" w:rsidRDefault="00DA7B02">
            <w:pPr>
              <w:pStyle w:val="TableParagraph"/>
              <w:spacing w:line="268" w:lineRule="exact"/>
              <w:rPr>
                <w:sz w:val="24"/>
              </w:rPr>
            </w:pPr>
            <w:r>
              <w:rPr>
                <w:spacing w:val="-4"/>
                <w:sz w:val="24"/>
              </w:rPr>
              <w:t>CSBG</w:t>
            </w:r>
          </w:p>
        </w:tc>
        <w:tc>
          <w:tcPr>
            <w:tcW w:w="5345" w:type="dxa"/>
          </w:tcPr>
          <w:p w14:paraId="365A974C" w14:textId="77777777" w:rsidR="00E41A5B" w:rsidRDefault="00DA7B02">
            <w:pPr>
              <w:pStyle w:val="TableParagraph"/>
              <w:ind w:left="180" w:right="169"/>
              <w:jc w:val="center"/>
              <w:rPr>
                <w:sz w:val="24"/>
              </w:rPr>
            </w:pPr>
            <w:r>
              <w:rPr>
                <w:sz w:val="24"/>
              </w:rPr>
              <w:t>1.5%</w:t>
            </w:r>
            <w:r>
              <w:rPr>
                <w:spacing w:val="-5"/>
                <w:sz w:val="24"/>
              </w:rPr>
              <w:t xml:space="preserve"> </w:t>
            </w:r>
            <w:r>
              <w:rPr>
                <w:sz w:val="24"/>
              </w:rPr>
              <w:t>of</w:t>
            </w:r>
            <w:r>
              <w:rPr>
                <w:spacing w:val="-5"/>
                <w:sz w:val="24"/>
              </w:rPr>
              <w:t xml:space="preserve"> </w:t>
            </w:r>
            <w:r>
              <w:rPr>
                <w:sz w:val="24"/>
              </w:rPr>
              <w:t>funds</w:t>
            </w:r>
            <w:r>
              <w:rPr>
                <w:spacing w:val="-4"/>
                <w:sz w:val="24"/>
              </w:rPr>
              <w:t xml:space="preserve"> </w:t>
            </w:r>
            <w:r>
              <w:rPr>
                <w:sz w:val="24"/>
              </w:rPr>
              <w:t>from</w:t>
            </w:r>
            <w:r>
              <w:rPr>
                <w:spacing w:val="-4"/>
                <w:sz w:val="24"/>
              </w:rPr>
              <w:t xml:space="preserve"> </w:t>
            </w:r>
            <w:r>
              <w:rPr>
                <w:sz w:val="24"/>
              </w:rPr>
              <w:t>the</w:t>
            </w:r>
            <w:r>
              <w:rPr>
                <w:spacing w:val="-5"/>
                <w:sz w:val="24"/>
              </w:rPr>
              <w:t xml:space="preserve"> </w:t>
            </w:r>
            <w:r>
              <w:rPr>
                <w:sz w:val="24"/>
              </w:rPr>
              <w:t>previous</w:t>
            </w:r>
            <w:r>
              <w:rPr>
                <w:spacing w:val="-2"/>
                <w:sz w:val="24"/>
              </w:rPr>
              <w:t xml:space="preserve"> </w:t>
            </w:r>
            <w:r>
              <w:rPr>
                <w:sz w:val="24"/>
              </w:rPr>
              <w:t>year</w:t>
            </w:r>
            <w:r>
              <w:rPr>
                <w:spacing w:val="-5"/>
                <w:sz w:val="24"/>
              </w:rPr>
              <w:t xml:space="preserve"> </w:t>
            </w:r>
            <w:r>
              <w:rPr>
                <w:sz w:val="24"/>
              </w:rPr>
              <w:t>spent</w:t>
            </w:r>
            <w:r>
              <w:rPr>
                <w:spacing w:val="-4"/>
                <w:sz w:val="24"/>
              </w:rPr>
              <w:t xml:space="preserve"> </w:t>
            </w:r>
            <w:r>
              <w:rPr>
                <w:sz w:val="24"/>
              </w:rPr>
              <w:t>by</w:t>
            </w:r>
            <w:r>
              <w:rPr>
                <w:spacing w:val="-9"/>
                <w:sz w:val="24"/>
              </w:rPr>
              <w:t xml:space="preserve"> </w:t>
            </w:r>
            <w:r>
              <w:rPr>
                <w:sz w:val="24"/>
              </w:rPr>
              <w:t>local CSBG-eligible entities to provide employment and</w:t>
            </w:r>
          </w:p>
          <w:p w14:paraId="365A974D" w14:textId="77777777" w:rsidR="00E41A5B" w:rsidRDefault="00DA7B02">
            <w:pPr>
              <w:pStyle w:val="TableParagraph"/>
              <w:spacing w:line="270" w:lineRule="atLeast"/>
              <w:ind w:left="203" w:right="194"/>
              <w:jc w:val="center"/>
              <w:rPr>
                <w:sz w:val="24"/>
              </w:rPr>
            </w:pPr>
            <w:r>
              <w:rPr>
                <w:sz w:val="24"/>
              </w:rPr>
              <w:t>training</w:t>
            </w:r>
            <w:r>
              <w:rPr>
                <w:spacing w:val="-11"/>
                <w:sz w:val="24"/>
              </w:rPr>
              <w:t xml:space="preserve"> </w:t>
            </w:r>
            <w:r>
              <w:rPr>
                <w:sz w:val="24"/>
              </w:rPr>
              <w:t>activities,</w:t>
            </w:r>
            <w:r>
              <w:rPr>
                <w:spacing w:val="-9"/>
                <w:sz w:val="24"/>
              </w:rPr>
              <w:t xml:space="preserve"> </w:t>
            </w:r>
            <w:r>
              <w:rPr>
                <w:sz w:val="24"/>
              </w:rPr>
              <w:t>plus</w:t>
            </w:r>
            <w:r>
              <w:rPr>
                <w:spacing w:val="-9"/>
                <w:sz w:val="24"/>
              </w:rPr>
              <w:t xml:space="preserve"> </w:t>
            </w:r>
            <w:r>
              <w:rPr>
                <w:sz w:val="24"/>
              </w:rPr>
              <w:t>any</w:t>
            </w:r>
            <w:r>
              <w:rPr>
                <w:spacing w:val="-13"/>
                <w:sz w:val="24"/>
              </w:rPr>
              <w:t xml:space="preserve"> </w:t>
            </w:r>
            <w:r>
              <w:rPr>
                <w:sz w:val="24"/>
              </w:rPr>
              <w:t>associated administrative costs</w:t>
            </w:r>
          </w:p>
        </w:tc>
      </w:tr>
      <w:tr w:rsidR="00E41A5B" w14:paraId="365A9752" w14:textId="77777777">
        <w:trPr>
          <w:trHeight w:val="1931"/>
        </w:trPr>
        <w:tc>
          <w:tcPr>
            <w:tcW w:w="4123" w:type="dxa"/>
          </w:tcPr>
          <w:p w14:paraId="365A974F" w14:textId="77777777" w:rsidR="00E41A5B" w:rsidRDefault="00DA7B02">
            <w:pPr>
              <w:pStyle w:val="TableParagraph"/>
              <w:rPr>
                <w:sz w:val="24"/>
              </w:rPr>
            </w:pPr>
            <w:r>
              <w:rPr>
                <w:sz w:val="24"/>
              </w:rPr>
              <w:t>Other required partners including Job Corps; YouthBuild; Native American programs; MSFW (NFJP) programs; SCSEP; TAA; UC; HUD employment and training programs; and programs authorized</w:t>
            </w:r>
            <w:r>
              <w:rPr>
                <w:spacing w:val="-7"/>
                <w:sz w:val="24"/>
              </w:rPr>
              <w:t xml:space="preserve"> </w:t>
            </w:r>
            <w:r>
              <w:rPr>
                <w:sz w:val="24"/>
              </w:rPr>
              <w:t>under</w:t>
            </w:r>
            <w:r>
              <w:rPr>
                <w:spacing w:val="-8"/>
                <w:sz w:val="24"/>
              </w:rPr>
              <w:t xml:space="preserve"> </w:t>
            </w:r>
            <w:r>
              <w:rPr>
                <w:sz w:val="24"/>
              </w:rPr>
              <w:t>sec.</w:t>
            </w:r>
            <w:r>
              <w:rPr>
                <w:spacing w:val="-7"/>
                <w:sz w:val="24"/>
              </w:rPr>
              <w:t xml:space="preserve"> </w:t>
            </w:r>
            <w:r>
              <w:rPr>
                <w:sz w:val="24"/>
              </w:rPr>
              <w:t>212</w:t>
            </w:r>
            <w:r>
              <w:rPr>
                <w:spacing w:val="-7"/>
                <w:sz w:val="24"/>
              </w:rPr>
              <w:t xml:space="preserve"> </w:t>
            </w:r>
            <w:r>
              <w:rPr>
                <w:sz w:val="24"/>
              </w:rPr>
              <w:t>of</w:t>
            </w:r>
            <w:r>
              <w:rPr>
                <w:spacing w:val="-8"/>
                <w:sz w:val="24"/>
              </w:rPr>
              <w:t xml:space="preserve"> </w:t>
            </w:r>
            <w:r>
              <w:rPr>
                <w:sz w:val="24"/>
              </w:rPr>
              <w:t>the</w:t>
            </w:r>
            <w:r>
              <w:rPr>
                <w:spacing w:val="-8"/>
                <w:sz w:val="24"/>
              </w:rPr>
              <w:t xml:space="preserve"> </w:t>
            </w:r>
            <w:r>
              <w:rPr>
                <w:sz w:val="24"/>
              </w:rPr>
              <w:t>Second</w:t>
            </w:r>
          </w:p>
          <w:p w14:paraId="365A9750" w14:textId="77777777" w:rsidR="00E41A5B" w:rsidRDefault="00DA7B02">
            <w:pPr>
              <w:pStyle w:val="TableParagraph"/>
              <w:spacing w:line="264" w:lineRule="exact"/>
              <w:rPr>
                <w:sz w:val="24"/>
              </w:rPr>
            </w:pPr>
            <w:r>
              <w:rPr>
                <w:sz w:val="24"/>
              </w:rPr>
              <w:t>Chance</w:t>
            </w:r>
            <w:r>
              <w:rPr>
                <w:spacing w:val="-2"/>
                <w:sz w:val="24"/>
              </w:rPr>
              <w:t xml:space="preserve"> </w:t>
            </w:r>
            <w:r>
              <w:rPr>
                <w:sz w:val="24"/>
              </w:rPr>
              <w:t>Act</w:t>
            </w:r>
            <w:r>
              <w:rPr>
                <w:spacing w:val="-1"/>
                <w:sz w:val="24"/>
              </w:rPr>
              <w:t xml:space="preserve"> </w:t>
            </w:r>
            <w:r>
              <w:rPr>
                <w:sz w:val="24"/>
              </w:rPr>
              <w:t>of</w:t>
            </w:r>
            <w:r>
              <w:rPr>
                <w:spacing w:val="-1"/>
                <w:sz w:val="24"/>
              </w:rPr>
              <w:t xml:space="preserve"> </w:t>
            </w:r>
            <w:r>
              <w:rPr>
                <w:spacing w:val="-4"/>
                <w:sz w:val="24"/>
              </w:rPr>
              <w:t>2007</w:t>
            </w:r>
          </w:p>
        </w:tc>
        <w:tc>
          <w:tcPr>
            <w:tcW w:w="5345" w:type="dxa"/>
          </w:tcPr>
          <w:p w14:paraId="365A9751" w14:textId="77777777" w:rsidR="00E41A5B" w:rsidRDefault="00DA7B02">
            <w:pPr>
              <w:pStyle w:val="TableParagraph"/>
              <w:spacing w:line="267" w:lineRule="exact"/>
              <w:ind w:left="12"/>
              <w:jc w:val="center"/>
              <w:rPr>
                <w:sz w:val="24"/>
              </w:rPr>
            </w:pPr>
            <w:r>
              <w:rPr>
                <w:spacing w:val="-4"/>
                <w:sz w:val="24"/>
              </w:rPr>
              <w:t>1.5%</w:t>
            </w:r>
          </w:p>
        </w:tc>
      </w:tr>
      <w:tr w:rsidR="00E41A5B" w14:paraId="365A9755" w14:textId="77777777">
        <w:trPr>
          <w:trHeight w:val="275"/>
        </w:trPr>
        <w:tc>
          <w:tcPr>
            <w:tcW w:w="4123" w:type="dxa"/>
          </w:tcPr>
          <w:p w14:paraId="365A9753" w14:textId="77777777" w:rsidR="00E41A5B" w:rsidRDefault="00DA7B02">
            <w:pPr>
              <w:pStyle w:val="TableParagraph"/>
              <w:spacing w:line="256" w:lineRule="exact"/>
              <w:rPr>
                <w:sz w:val="24"/>
              </w:rPr>
            </w:pPr>
            <w:r>
              <w:rPr>
                <w:sz w:val="24"/>
              </w:rPr>
              <w:t>Additional</w:t>
            </w:r>
            <w:r>
              <w:rPr>
                <w:spacing w:val="-3"/>
                <w:sz w:val="24"/>
              </w:rPr>
              <w:t xml:space="preserve"> </w:t>
            </w:r>
            <w:r>
              <w:rPr>
                <w:sz w:val="24"/>
              </w:rPr>
              <w:t>(non-required)</w:t>
            </w:r>
            <w:r>
              <w:rPr>
                <w:spacing w:val="-2"/>
                <w:sz w:val="24"/>
              </w:rPr>
              <w:t xml:space="preserve"> partners</w:t>
            </w:r>
          </w:p>
        </w:tc>
        <w:tc>
          <w:tcPr>
            <w:tcW w:w="5345" w:type="dxa"/>
          </w:tcPr>
          <w:p w14:paraId="365A9754" w14:textId="77777777" w:rsidR="00E41A5B" w:rsidRDefault="00DA7B02">
            <w:pPr>
              <w:pStyle w:val="TableParagraph"/>
              <w:spacing w:line="256" w:lineRule="exact"/>
              <w:ind w:left="14"/>
              <w:jc w:val="center"/>
              <w:rPr>
                <w:sz w:val="24"/>
              </w:rPr>
            </w:pPr>
            <w:r>
              <w:rPr>
                <w:sz w:val="24"/>
              </w:rPr>
              <w:t>SFM</w:t>
            </w:r>
            <w:r>
              <w:rPr>
                <w:spacing w:val="-3"/>
                <w:sz w:val="24"/>
              </w:rPr>
              <w:t xml:space="preserve"> </w:t>
            </w:r>
            <w:r>
              <w:rPr>
                <w:sz w:val="24"/>
              </w:rPr>
              <w:t>does</w:t>
            </w:r>
            <w:r>
              <w:rPr>
                <w:spacing w:val="-1"/>
                <w:sz w:val="24"/>
              </w:rPr>
              <w:t xml:space="preserve"> </w:t>
            </w:r>
            <w:r>
              <w:rPr>
                <w:sz w:val="24"/>
              </w:rPr>
              <w:t>not</w:t>
            </w:r>
            <w:r>
              <w:rPr>
                <w:spacing w:val="-1"/>
                <w:sz w:val="24"/>
              </w:rPr>
              <w:t xml:space="preserve"> </w:t>
            </w:r>
            <w:r>
              <w:rPr>
                <w:spacing w:val="-4"/>
                <w:sz w:val="24"/>
              </w:rPr>
              <w:t>apply</w:t>
            </w:r>
          </w:p>
        </w:tc>
      </w:tr>
    </w:tbl>
    <w:p w14:paraId="365A9756" w14:textId="77777777" w:rsidR="00E41A5B" w:rsidRDefault="00E41A5B">
      <w:pPr>
        <w:pStyle w:val="BodyText"/>
        <w:spacing w:before="1"/>
        <w:jc w:val="left"/>
        <w:rPr>
          <w:b/>
        </w:rPr>
      </w:pPr>
    </w:p>
    <w:p w14:paraId="365A9757" w14:textId="77777777" w:rsidR="00E41A5B" w:rsidRDefault="00DA7B02">
      <w:pPr>
        <w:pStyle w:val="BodyText"/>
        <w:ind w:left="1659" w:right="1355"/>
      </w:pPr>
      <w:r>
        <w:rPr>
          <w:b/>
        </w:rPr>
        <w:t>Step 7:</w:t>
      </w:r>
      <w:r>
        <w:rPr>
          <w:b/>
          <w:spacing w:val="40"/>
        </w:rPr>
        <w:t xml:space="preserve"> </w:t>
      </w:r>
      <w:r>
        <w:rPr>
          <w:b/>
        </w:rPr>
        <w:t xml:space="preserve">Governor assesses the aggregate total of infrastructure contributions as it relates to the statewide cap. </w:t>
      </w:r>
      <w:r>
        <w:t>Once the Governor has determined the applicable program cap for each program, as well as the proportionate share of the infrastructure costs that the Governor has determined under Step 5 would be required of each local required one stop partner in a non-consensus area without regard to the cap, the Governor must ensure that the funds required to be contributed by each partner program in the non-consensus local area(s), in aggregate, do not exceed the applicable program cap.</w:t>
      </w:r>
    </w:p>
    <w:p w14:paraId="365A9758" w14:textId="77777777" w:rsidR="00E41A5B" w:rsidRDefault="00E41A5B">
      <w:pPr>
        <w:sectPr w:rsidR="00E41A5B">
          <w:pgSz w:w="12240" w:h="15840"/>
          <w:pgMar w:top="1360" w:right="80" w:bottom="1540" w:left="140" w:header="0" w:footer="1345" w:gutter="0"/>
          <w:cols w:space="720"/>
        </w:sectPr>
      </w:pPr>
    </w:p>
    <w:p w14:paraId="365A9759" w14:textId="77777777" w:rsidR="00E41A5B" w:rsidRDefault="00DA7B02">
      <w:pPr>
        <w:pStyle w:val="BodyText"/>
        <w:spacing w:before="74" w:line="276" w:lineRule="auto"/>
        <w:ind w:left="1300" w:right="1806"/>
      </w:pPr>
      <w:r>
        <w:lastRenderedPageBreak/>
        <w:t>If the aggregate total contributions are below the applicable program cap, then the Governor must</w:t>
      </w:r>
      <w:r>
        <w:rPr>
          <w:spacing w:val="-3"/>
        </w:rPr>
        <w:t xml:space="preserve"> </w:t>
      </w:r>
      <w:r>
        <w:t>direct</w:t>
      </w:r>
      <w:r>
        <w:rPr>
          <w:spacing w:val="-3"/>
        </w:rPr>
        <w:t xml:space="preserve"> </w:t>
      </w:r>
      <w:r>
        <w:t>the</w:t>
      </w:r>
      <w:r>
        <w:rPr>
          <w:spacing w:val="-4"/>
        </w:rPr>
        <w:t xml:space="preserve"> </w:t>
      </w:r>
      <w:r>
        <w:t>one-stop</w:t>
      </w:r>
      <w:r>
        <w:rPr>
          <w:spacing w:val="-1"/>
        </w:rPr>
        <w:t xml:space="preserve"> </w:t>
      </w:r>
      <w:r>
        <w:t>partners</w:t>
      </w:r>
      <w:r>
        <w:rPr>
          <w:spacing w:val="-3"/>
        </w:rPr>
        <w:t xml:space="preserve"> </w:t>
      </w:r>
      <w:r>
        <w:t>to</w:t>
      </w:r>
      <w:r>
        <w:rPr>
          <w:spacing w:val="-3"/>
        </w:rPr>
        <w:t xml:space="preserve"> </w:t>
      </w:r>
      <w:r>
        <w:t>contribute</w:t>
      </w:r>
      <w:r>
        <w:rPr>
          <w:spacing w:val="-2"/>
        </w:rPr>
        <w:t xml:space="preserve"> </w:t>
      </w:r>
      <w:r>
        <w:t>what</w:t>
      </w:r>
      <w:r>
        <w:rPr>
          <w:spacing w:val="-3"/>
        </w:rPr>
        <w:t xml:space="preserve"> </w:t>
      </w:r>
      <w:r>
        <w:t>was</w:t>
      </w:r>
      <w:r>
        <w:rPr>
          <w:spacing w:val="-3"/>
        </w:rPr>
        <w:t xml:space="preserve"> </w:t>
      </w:r>
      <w:r>
        <w:t>determined</w:t>
      </w:r>
      <w:r>
        <w:rPr>
          <w:spacing w:val="-3"/>
        </w:rPr>
        <w:t xml:space="preserve"> </w:t>
      </w:r>
      <w:r>
        <w:t>to</w:t>
      </w:r>
      <w:r>
        <w:rPr>
          <w:spacing w:val="-3"/>
        </w:rPr>
        <w:t xml:space="preserve"> </w:t>
      </w:r>
      <w:r>
        <w:t>be</w:t>
      </w:r>
      <w:r>
        <w:rPr>
          <w:spacing w:val="-4"/>
        </w:rPr>
        <w:t xml:space="preserve"> </w:t>
      </w:r>
      <w:r>
        <w:t>their</w:t>
      </w:r>
      <w:r>
        <w:rPr>
          <w:spacing w:val="-4"/>
        </w:rPr>
        <w:t xml:space="preserve"> </w:t>
      </w:r>
      <w:r>
        <w:t>proportionate shares. If the aggregate total contributions exceed the cap, then the Governor may either:</w:t>
      </w:r>
    </w:p>
    <w:p w14:paraId="365A975A" w14:textId="77777777" w:rsidR="00E41A5B" w:rsidRDefault="00DA7B02">
      <w:pPr>
        <w:pStyle w:val="ListParagraph"/>
        <w:numPr>
          <w:ilvl w:val="0"/>
          <w:numId w:val="16"/>
        </w:numPr>
        <w:tabs>
          <w:tab w:val="left" w:pos="3100"/>
        </w:tabs>
        <w:spacing w:before="200" w:line="276" w:lineRule="auto"/>
        <w:ind w:right="1356"/>
        <w:rPr>
          <w:sz w:val="24"/>
        </w:rPr>
      </w:pPr>
      <w:r>
        <w:rPr>
          <w:sz w:val="24"/>
        </w:rPr>
        <w:t>Inquire as to whether those local partner programs that have pushed the aggregate total contributions above the applicable program cap (i.e., those whose contributions would have otherwise exceeded the Statewide cap on contributions) are willing to contribute beyond the applicable program cap in accordance with their proportionate share; or</w:t>
      </w:r>
    </w:p>
    <w:p w14:paraId="365A975B" w14:textId="77777777" w:rsidR="00E41A5B" w:rsidRDefault="00DA7B02">
      <w:pPr>
        <w:pStyle w:val="ListParagraph"/>
        <w:numPr>
          <w:ilvl w:val="0"/>
          <w:numId w:val="16"/>
        </w:numPr>
        <w:tabs>
          <w:tab w:val="left" w:pos="3099"/>
        </w:tabs>
        <w:spacing w:before="275"/>
        <w:ind w:left="3099" w:hanging="359"/>
        <w:rPr>
          <w:sz w:val="24"/>
        </w:rPr>
      </w:pPr>
      <w:r>
        <w:rPr>
          <w:sz w:val="24"/>
        </w:rPr>
        <w:t>Allow</w:t>
      </w:r>
      <w:r>
        <w:rPr>
          <w:spacing w:val="-3"/>
          <w:sz w:val="24"/>
        </w:rPr>
        <w:t xml:space="preserve"> </w:t>
      </w:r>
      <w:r>
        <w:rPr>
          <w:sz w:val="24"/>
        </w:rPr>
        <w:t>the</w:t>
      </w:r>
      <w:r>
        <w:rPr>
          <w:spacing w:val="-1"/>
          <w:sz w:val="24"/>
        </w:rPr>
        <w:t xml:space="preserve"> </w:t>
      </w:r>
      <w:r>
        <w:rPr>
          <w:sz w:val="24"/>
        </w:rPr>
        <w:t>LWDB,</w:t>
      </w:r>
      <w:r>
        <w:rPr>
          <w:spacing w:val="-2"/>
          <w:sz w:val="24"/>
        </w:rPr>
        <w:t xml:space="preserve"> </w:t>
      </w:r>
      <w:r>
        <w:rPr>
          <w:sz w:val="24"/>
        </w:rPr>
        <w:t>one-stop</w:t>
      </w:r>
      <w:r>
        <w:rPr>
          <w:spacing w:val="-2"/>
          <w:sz w:val="24"/>
        </w:rPr>
        <w:t xml:space="preserve"> </w:t>
      </w:r>
      <w:r>
        <w:rPr>
          <w:sz w:val="24"/>
        </w:rPr>
        <w:t>partners,</w:t>
      </w:r>
      <w:r>
        <w:rPr>
          <w:spacing w:val="-2"/>
          <w:sz w:val="24"/>
        </w:rPr>
        <w:t xml:space="preserve"> </w:t>
      </w:r>
      <w:r>
        <w:rPr>
          <w:sz w:val="24"/>
        </w:rPr>
        <w:t>and</w:t>
      </w:r>
      <w:r>
        <w:rPr>
          <w:spacing w:val="-2"/>
          <w:sz w:val="24"/>
        </w:rPr>
        <w:t xml:space="preserve"> </w:t>
      </w:r>
      <w:r>
        <w:rPr>
          <w:sz w:val="24"/>
        </w:rPr>
        <w:t xml:space="preserve">CEO(s) </w:t>
      </w:r>
      <w:r>
        <w:rPr>
          <w:spacing w:val="-5"/>
          <w:sz w:val="24"/>
        </w:rPr>
        <w:t>to:</w:t>
      </w:r>
    </w:p>
    <w:p w14:paraId="365A975C" w14:textId="77777777" w:rsidR="00E41A5B" w:rsidRDefault="00DA7B02">
      <w:pPr>
        <w:pStyle w:val="ListParagraph"/>
        <w:numPr>
          <w:ilvl w:val="1"/>
          <w:numId w:val="16"/>
        </w:numPr>
        <w:tabs>
          <w:tab w:val="left" w:pos="3459"/>
        </w:tabs>
        <w:spacing w:before="41" w:line="276" w:lineRule="auto"/>
        <w:ind w:left="3459" w:right="1357"/>
        <w:rPr>
          <w:sz w:val="24"/>
        </w:rPr>
      </w:pPr>
      <w:r>
        <w:rPr>
          <w:sz w:val="24"/>
        </w:rPr>
        <w:t xml:space="preserve">Re-enter negotiations to reassess each one-stop partner’s proportionate share and </w:t>
      </w:r>
      <w:proofErr w:type="gramStart"/>
      <w:r>
        <w:rPr>
          <w:sz w:val="24"/>
        </w:rPr>
        <w:t>make adjustments</w:t>
      </w:r>
      <w:proofErr w:type="gramEnd"/>
      <w:r>
        <w:rPr>
          <w:sz w:val="24"/>
        </w:rPr>
        <w:t xml:space="preserve"> and identify alternate sources of funding to make up the difference between the capped amount and the proportionate share of infrastructure funding of the one-stop partner; and</w:t>
      </w:r>
    </w:p>
    <w:p w14:paraId="365A975D" w14:textId="77777777" w:rsidR="00E41A5B" w:rsidRDefault="00DA7B02">
      <w:pPr>
        <w:pStyle w:val="ListParagraph"/>
        <w:numPr>
          <w:ilvl w:val="1"/>
          <w:numId w:val="16"/>
        </w:numPr>
        <w:tabs>
          <w:tab w:val="left" w:pos="3459"/>
        </w:tabs>
        <w:spacing w:line="273" w:lineRule="auto"/>
        <w:ind w:left="3459" w:right="1360"/>
        <w:rPr>
          <w:sz w:val="24"/>
        </w:rPr>
      </w:pPr>
      <w:r>
        <w:rPr>
          <w:sz w:val="24"/>
        </w:rPr>
        <w:t>Reduce infrastructure costs to reflect the amount of funds available</w:t>
      </w:r>
      <w:r>
        <w:rPr>
          <w:spacing w:val="40"/>
          <w:sz w:val="24"/>
        </w:rPr>
        <w:t xml:space="preserve"> </w:t>
      </w:r>
      <w:r>
        <w:rPr>
          <w:sz w:val="24"/>
        </w:rPr>
        <w:t>without exceeding the applicable program cap level.</w:t>
      </w:r>
    </w:p>
    <w:p w14:paraId="365A975E" w14:textId="77777777" w:rsidR="00E41A5B" w:rsidRDefault="00DA7B02">
      <w:pPr>
        <w:pStyle w:val="BodyText"/>
        <w:spacing w:before="273"/>
        <w:ind w:left="1659" w:right="1355"/>
      </w:pPr>
      <w:r>
        <w:rPr>
          <w:b/>
        </w:rPr>
        <w:t xml:space="preserve">Step 8: Governor adjusts proportionate shares. </w:t>
      </w:r>
      <w:r>
        <w:t xml:space="preserve">The Governor must make adjustments to specific local partners’ proportionate share in accordance with the amounts available under the applicable program cap for the associated program, if the LWDB, CEO(s), and the required one-stop partners fail to reach agreement on how to address the situation in which the proportionate share exceeds the cap using the approaches described in Step 7. The aggregate total contribution of a program’s local one-stop partners under the SFM may not exceed the applicable program </w:t>
      </w:r>
      <w:r>
        <w:t>cap.</w:t>
      </w:r>
    </w:p>
    <w:p w14:paraId="365A975F" w14:textId="77777777" w:rsidR="00E41A5B" w:rsidRDefault="00E41A5B">
      <w:pPr>
        <w:pStyle w:val="BodyText"/>
        <w:spacing w:before="2"/>
        <w:jc w:val="left"/>
      </w:pPr>
    </w:p>
    <w:p w14:paraId="365A9760" w14:textId="77777777" w:rsidR="00E41A5B" w:rsidRDefault="00DA7B02">
      <w:pPr>
        <w:pStyle w:val="ListParagraph"/>
        <w:numPr>
          <w:ilvl w:val="0"/>
          <w:numId w:val="22"/>
        </w:numPr>
        <w:tabs>
          <w:tab w:val="left" w:pos="1722"/>
        </w:tabs>
        <w:spacing w:before="1" w:line="276" w:lineRule="auto"/>
        <w:ind w:right="1357" w:firstLine="0"/>
        <w:rPr>
          <w:sz w:val="24"/>
        </w:rPr>
      </w:pPr>
      <w:r>
        <w:rPr>
          <w:b/>
          <w:sz w:val="24"/>
          <w:u w:val="single"/>
        </w:rPr>
        <w:t>Appeals Process</w:t>
      </w:r>
      <w:r>
        <w:rPr>
          <w:b/>
          <w:sz w:val="24"/>
        </w:rPr>
        <w:t xml:space="preserve">. </w:t>
      </w:r>
      <w:r>
        <w:rPr>
          <w:sz w:val="24"/>
        </w:rPr>
        <w:t>The Governor must establish a process, described in the Unified or Combined State Plan, for one-stop partners to appeal the Governor’s determination regarding</w:t>
      </w:r>
      <w:r>
        <w:rPr>
          <w:spacing w:val="-1"/>
          <w:sz w:val="24"/>
        </w:rPr>
        <w:t xml:space="preserve"> </w:t>
      </w:r>
      <w:r>
        <w:rPr>
          <w:sz w:val="24"/>
        </w:rPr>
        <w:t>the one-stop partner’s portion of funds to be provided for one-stop infrastructure costs under the SFM, as outlined in 20 CFR 678.750, 34 CFR 361.750, and 34 CFR 463.750.</w:t>
      </w:r>
    </w:p>
    <w:p w14:paraId="365A9761" w14:textId="77777777" w:rsidR="00E41A5B" w:rsidRDefault="00DA7B02">
      <w:pPr>
        <w:pStyle w:val="Heading3"/>
        <w:spacing w:before="201"/>
        <w:ind w:left="1300" w:right="1354"/>
      </w:pPr>
      <w:r>
        <w:t>Nevada Infrastructure Appeals Process:</w:t>
      </w:r>
      <w:r>
        <w:rPr>
          <w:spacing w:val="40"/>
        </w:rPr>
        <w:t xml:space="preserve"> </w:t>
      </w:r>
      <w:r>
        <w:t>In accordance with WIOA 121(h)(2)(E), if a one–</w:t>
      </w:r>
      <w:r>
        <w:t xml:space="preserve"> stop partner wishes to appeal the Governor’s determination regarding the one–stop partner’s portion of funds to be provided for one–stop infrastructure costs, the one–stop partner may submit a written appeal to the GWDB within thirty (30) days of the Governor’s determination. Appeals submitted after this time will not be considered.</w:t>
      </w:r>
    </w:p>
    <w:p w14:paraId="365A9762" w14:textId="7EC78AB1" w:rsidR="00E41A5B" w:rsidRDefault="00DA7B02">
      <w:pPr>
        <w:pStyle w:val="BodyText"/>
        <w:spacing w:before="272"/>
        <w:ind w:left="1300" w:right="1359"/>
      </w:pPr>
      <w:r>
        <w:t>As described in 20 CFR §678.750, the appeal may be made on the grounds that the Governor’s determination is inconsistent with proportionate share requirements in 20 CFR §</w:t>
      </w:r>
      <w:r w:rsidR="009148E4">
        <w:t xml:space="preserve"> </w:t>
      </w:r>
      <w:r>
        <w:t>678.735(a), the cost</w:t>
      </w:r>
      <w:r>
        <w:rPr>
          <w:spacing w:val="24"/>
        </w:rPr>
        <w:t xml:space="preserve"> </w:t>
      </w:r>
      <w:r>
        <w:t>contribution</w:t>
      </w:r>
      <w:r>
        <w:rPr>
          <w:spacing w:val="25"/>
        </w:rPr>
        <w:t xml:space="preserve"> </w:t>
      </w:r>
      <w:r>
        <w:t>limitations</w:t>
      </w:r>
      <w:r>
        <w:rPr>
          <w:spacing w:val="25"/>
        </w:rPr>
        <w:t xml:space="preserve"> </w:t>
      </w:r>
      <w:r>
        <w:t>in</w:t>
      </w:r>
      <w:r>
        <w:rPr>
          <w:spacing w:val="25"/>
        </w:rPr>
        <w:t xml:space="preserve"> </w:t>
      </w:r>
      <w:r>
        <w:t>20</w:t>
      </w:r>
      <w:r>
        <w:rPr>
          <w:spacing w:val="25"/>
        </w:rPr>
        <w:t xml:space="preserve"> </w:t>
      </w:r>
      <w:r>
        <w:t>CFR</w:t>
      </w:r>
      <w:r>
        <w:rPr>
          <w:spacing w:val="26"/>
        </w:rPr>
        <w:t xml:space="preserve"> </w:t>
      </w:r>
      <w:r>
        <w:t>§</w:t>
      </w:r>
      <w:r>
        <w:rPr>
          <w:spacing w:val="25"/>
        </w:rPr>
        <w:t xml:space="preserve"> </w:t>
      </w:r>
      <w:r>
        <w:t>678.735(b),</w:t>
      </w:r>
      <w:r>
        <w:rPr>
          <w:spacing w:val="25"/>
        </w:rPr>
        <w:t xml:space="preserve"> </w:t>
      </w:r>
      <w:r>
        <w:t>or</w:t>
      </w:r>
      <w:r>
        <w:rPr>
          <w:spacing w:val="24"/>
        </w:rPr>
        <w:t xml:space="preserve"> </w:t>
      </w:r>
      <w:r>
        <w:t>the</w:t>
      </w:r>
      <w:r>
        <w:rPr>
          <w:spacing w:val="24"/>
        </w:rPr>
        <w:t xml:space="preserve"> </w:t>
      </w:r>
      <w:r>
        <w:t>cost</w:t>
      </w:r>
      <w:r>
        <w:rPr>
          <w:spacing w:val="25"/>
        </w:rPr>
        <w:t xml:space="preserve"> </w:t>
      </w:r>
      <w:r>
        <w:t>contribution</w:t>
      </w:r>
      <w:r>
        <w:rPr>
          <w:spacing w:val="25"/>
        </w:rPr>
        <w:t xml:space="preserve"> </w:t>
      </w:r>
      <w:r>
        <w:t>caps</w:t>
      </w:r>
      <w:r>
        <w:rPr>
          <w:spacing w:val="25"/>
        </w:rPr>
        <w:t xml:space="preserve"> </w:t>
      </w:r>
      <w:r>
        <w:t>in</w:t>
      </w:r>
      <w:r>
        <w:rPr>
          <w:spacing w:val="25"/>
        </w:rPr>
        <w:t xml:space="preserve"> </w:t>
      </w:r>
      <w:r>
        <w:t>20</w:t>
      </w:r>
      <w:r>
        <w:rPr>
          <w:spacing w:val="25"/>
        </w:rPr>
        <w:t xml:space="preserve"> </w:t>
      </w:r>
      <w:r>
        <w:rPr>
          <w:spacing w:val="-5"/>
        </w:rPr>
        <w:t>CFR</w:t>
      </w:r>
    </w:p>
    <w:p w14:paraId="365A9763" w14:textId="4820A19C" w:rsidR="00E41A5B" w:rsidRDefault="00DA7B02">
      <w:pPr>
        <w:pStyle w:val="BodyText"/>
        <w:ind w:left="1300" w:right="1357"/>
      </w:pPr>
      <w:r>
        <w:t>§</w:t>
      </w:r>
      <w:r w:rsidR="009148E4">
        <w:t xml:space="preserve"> </w:t>
      </w:r>
      <w:r>
        <w:t>678.738. The appealing entity must explain why it believes the determination is contrary to the provisions of WIOA 121(h)(2)(E). No other cause for appeal will be considered. The GWDB must consider and respond in writing to such an appeal within 30 days of its receipt.</w:t>
      </w:r>
    </w:p>
    <w:p w14:paraId="365A9764" w14:textId="77777777" w:rsidR="00E41A5B" w:rsidRDefault="00E41A5B">
      <w:pPr>
        <w:sectPr w:rsidR="00E41A5B">
          <w:pgSz w:w="12240" w:h="15840"/>
          <w:pgMar w:top="1360" w:right="80" w:bottom="1540" w:left="140" w:header="0" w:footer="1345" w:gutter="0"/>
          <w:cols w:space="720"/>
        </w:sectPr>
      </w:pPr>
    </w:p>
    <w:p w14:paraId="365A9765" w14:textId="4FCCD79E" w:rsidR="00E41A5B" w:rsidRDefault="00DA7B02">
      <w:pPr>
        <w:pStyle w:val="BodyText"/>
        <w:spacing w:before="74" w:line="276" w:lineRule="auto"/>
        <w:ind w:left="1299" w:right="1354" w:firstLine="55"/>
      </w:pPr>
      <w:r>
        <w:rPr>
          <w:b/>
        </w:rPr>
        <w:lastRenderedPageBreak/>
        <w:t xml:space="preserve">Partner programs </w:t>
      </w:r>
      <w:proofErr w:type="gramStart"/>
      <w:r>
        <w:rPr>
          <w:b/>
        </w:rPr>
        <w:t>not</w:t>
      </w:r>
      <w:proofErr w:type="gramEnd"/>
      <w:r>
        <w:rPr>
          <w:b/>
        </w:rPr>
        <w:t xml:space="preserve"> under the control of the Governor. </w:t>
      </w:r>
      <w:r>
        <w:t xml:space="preserve">Under the SFM, the Governor has authority to determine the financial contribution of all required one-stop partners towards infrastructure costs in accordance with 20 CFR </w:t>
      </w:r>
      <w:r w:rsidR="009148E4" w:rsidRPr="009148E4">
        <w:t>§</w:t>
      </w:r>
      <w:r w:rsidR="009148E4">
        <w:t>§</w:t>
      </w:r>
      <w:r w:rsidR="009148E4">
        <w:t xml:space="preserve"> </w:t>
      </w:r>
      <w:r>
        <w:t>678.725 through 678.738, 34 CFR 361.725 through</w:t>
      </w:r>
      <w:r>
        <w:rPr>
          <w:spacing w:val="-3"/>
        </w:rPr>
        <w:t xml:space="preserve"> </w:t>
      </w:r>
      <w:r>
        <w:t>361.738,</w:t>
      </w:r>
      <w:r>
        <w:rPr>
          <w:spacing w:val="-1"/>
        </w:rPr>
        <w:t xml:space="preserve"> </w:t>
      </w:r>
      <w:r>
        <w:t>and</w:t>
      </w:r>
      <w:r>
        <w:rPr>
          <w:spacing w:val="-3"/>
        </w:rPr>
        <w:t xml:space="preserve"> </w:t>
      </w:r>
      <w:r>
        <w:t>34</w:t>
      </w:r>
      <w:r>
        <w:rPr>
          <w:spacing w:val="-1"/>
        </w:rPr>
        <w:t xml:space="preserve"> </w:t>
      </w:r>
      <w:r>
        <w:t>CFR</w:t>
      </w:r>
      <w:r>
        <w:rPr>
          <w:spacing w:val="-3"/>
        </w:rPr>
        <w:t xml:space="preserve"> </w:t>
      </w:r>
      <w:r>
        <w:t>463.725</w:t>
      </w:r>
      <w:r>
        <w:rPr>
          <w:spacing w:val="-3"/>
        </w:rPr>
        <w:t xml:space="preserve"> </w:t>
      </w:r>
      <w:r>
        <w:t>through</w:t>
      </w:r>
      <w:r>
        <w:rPr>
          <w:spacing w:val="-3"/>
        </w:rPr>
        <w:t xml:space="preserve"> </w:t>
      </w:r>
      <w:r>
        <w:t>463.738.</w:t>
      </w:r>
      <w:r>
        <w:rPr>
          <w:spacing w:val="-3"/>
        </w:rPr>
        <w:t xml:space="preserve"> </w:t>
      </w:r>
      <w:r>
        <w:t>For</w:t>
      </w:r>
      <w:r>
        <w:rPr>
          <w:spacing w:val="-2"/>
        </w:rPr>
        <w:t xml:space="preserve"> </w:t>
      </w:r>
      <w:r>
        <w:t>AEFLA</w:t>
      </w:r>
      <w:r>
        <w:rPr>
          <w:spacing w:val="-2"/>
        </w:rPr>
        <w:t xml:space="preserve"> </w:t>
      </w:r>
      <w:r>
        <w:t>programs</w:t>
      </w:r>
      <w:r>
        <w:rPr>
          <w:spacing w:val="-3"/>
        </w:rPr>
        <w:t xml:space="preserve"> </w:t>
      </w:r>
      <w:r>
        <w:t>and</w:t>
      </w:r>
      <w:r>
        <w:rPr>
          <w:spacing w:val="-3"/>
        </w:rPr>
        <w:t xml:space="preserve"> </w:t>
      </w:r>
      <w:r>
        <w:t>activities,</w:t>
      </w:r>
      <w:r>
        <w:rPr>
          <w:spacing w:val="-3"/>
        </w:rPr>
        <w:t xml:space="preserve"> </w:t>
      </w:r>
      <w:r>
        <w:t>the VR program, and postsecondary career and technical education activities under Perkins IV, in States in which the policy-making authority is placed in an entity or official that is independent</w:t>
      </w:r>
      <w:r>
        <w:rPr>
          <w:spacing w:val="40"/>
        </w:rPr>
        <w:t xml:space="preserve"> </w:t>
      </w:r>
      <w:r>
        <w:t>of the authority of the Governor, the determination of the amount each of these programs must contribute toward infrastructure costs must be made by the official or chief officer of the entity with</w:t>
      </w:r>
      <w:r>
        <w:rPr>
          <w:spacing w:val="-1"/>
        </w:rPr>
        <w:t xml:space="preserve"> </w:t>
      </w:r>
      <w:r>
        <w:t>policy-making</w:t>
      </w:r>
      <w:r>
        <w:rPr>
          <w:spacing w:val="-1"/>
        </w:rPr>
        <w:t xml:space="preserve"> </w:t>
      </w:r>
      <w:r>
        <w:t>authority,</w:t>
      </w:r>
      <w:r>
        <w:rPr>
          <w:spacing w:val="-1"/>
        </w:rPr>
        <w:t xml:space="preserve"> </w:t>
      </w:r>
      <w:r>
        <w:t>in</w:t>
      </w:r>
      <w:r>
        <w:rPr>
          <w:spacing w:val="-1"/>
        </w:rPr>
        <w:t xml:space="preserve"> </w:t>
      </w:r>
      <w:r>
        <w:t>consultation</w:t>
      </w:r>
      <w:r>
        <w:rPr>
          <w:spacing w:val="-1"/>
        </w:rPr>
        <w:t xml:space="preserve"> </w:t>
      </w:r>
      <w:r>
        <w:t>with</w:t>
      </w:r>
      <w:r>
        <w:rPr>
          <w:spacing w:val="-1"/>
        </w:rPr>
        <w:t xml:space="preserve"> </w:t>
      </w:r>
      <w:r>
        <w:t>the</w:t>
      </w:r>
      <w:r>
        <w:rPr>
          <w:spacing w:val="-2"/>
        </w:rPr>
        <w:t xml:space="preserve"> </w:t>
      </w:r>
      <w:r>
        <w:t>Governor</w:t>
      </w:r>
      <w:r>
        <w:rPr>
          <w:spacing w:val="-2"/>
        </w:rPr>
        <w:t xml:space="preserve"> </w:t>
      </w:r>
      <w:r>
        <w:t xml:space="preserve">(20 CFR </w:t>
      </w:r>
      <w:r w:rsidR="009148E4">
        <w:t>§§</w:t>
      </w:r>
      <w:r w:rsidR="009148E4">
        <w:t xml:space="preserve"> </w:t>
      </w:r>
      <w:r>
        <w:t>678.730(c)(2),</w:t>
      </w:r>
      <w:r>
        <w:rPr>
          <w:spacing w:val="-1"/>
        </w:rPr>
        <w:t xml:space="preserve"> </w:t>
      </w:r>
      <w:r>
        <w:t>34</w:t>
      </w:r>
      <w:r>
        <w:rPr>
          <w:spacing w:val="-1"/>
        </w:rPr>
        <w:t xml:space="preserve"> </w:t>
      </w:r>
      <w:r>
        <w:t>CFR 361.730(c)(2), and 34 CFR 463.730(c)(2)).</w:t>
      </w:r>
    </w:p>
    <w:p w14:paraId="365A9766" w14:textId="77777777" w:rsidR="00E41A5B" w:rsidRDefault="00E41A5B">
      <w:pPr>
        <w:pStyle w:val="BodyText"/>
        <w:spacing w:before="33"/>
        <w:jc w:val="left"/>
      </w:pPr>
    </w:p>
    <w:p w14:paraId="365A9767" w14:textId="77777777" w:rsidR="00E41A5B" w:rsidRDefault="00DA7B02">
      <w:pPr>
        <w:pStyle w:val="ListParagraph"/>
        <w:numPr>
          <w:ilvl w:val="0"/>
          <w:numId w:val="22"/>
        </w:numPr>
        <w:tabs>
          <w:tab w:val="left" w:pos="1663"/>
        </w:tabs>
        <w:spacing w:line="276" w:lineRule="auto"/>
        <w:ind w:left="1299" w:right="1354" w:firstLine="0"/>
        <w:rPr>
          <w:sz w:val="24"/>
        </w:rPr>
      </w:pPr>
      <w:r>
        <w:rPr>
          <w:b/>
          <w:sz w:val="24"/>
          <w:u w:val="single"/>
        </w:rPr>
        <w:t>Preference for Implementing the Local Funding Mechanism</w:t>
      </w:r>
      <w:r>
        <w:rPr>
          <w:sz w:val="24"/>
        </w:rPr>
        <w:t>. There is an emphasis on</w:t>
      </w:r>
      <w:r>
        <w:rPr>
          <w:spacing w:val="-1"/>
          <w:sz w:val="24"/>
        </w:rPr>
        <w:t xml:space="preserve"> </w:t>
      </w:r>
      <w:r>
        <w:rPr>
          <w:sz w:val="24"/>
        </w:rPr>
        <w:t>the importance of local one-stop partners, LWDBs, and CEOs reaching consensus on infrastructure funding during local negotiations, thus avoiding the necessity of utilizing the SFM. The underlying reason for this is that local parties involved in the development of the MOU, whether they are one-stop partners, LWDBs, or CEOs, are more likely to understand the needs of the</w:t>
      </w:r>
      <w:r>
        <w:rPr>
          <w:spacing w:val="40"/>
          <w:sz w:val="24"/>
        </w:rPr>
        <w:t xml:space="preserve"> </w:t>
      </w:r>
      <w:r>
        <w:rPr>
          <w:sz w:val="24"/>
        </w:rPr>
        <w:t>local area’s workforce, how to best meet these needs through the one-stop delivery system, and the resources needed to meet these needs, as well as the best way to obtain these resources to encourage the use of the LFM and input from local entities. There are no specific programmatic caps on the amount or percent of overall funding a one-stop partner may contribute to fund infrastructure costs under the LFM, except that contributions for administrative costs may not exceed the amount available for administr</w:t>
      </w:r>
      <w:r>
        <w:rPr>
          <w:sz w:val="24"/>
        </w:rPr>
        <w:t>ative costs where applicable under the authorizing statute of the partner program, and contributions may</w:t>
      </w:r>
      <w:r>
        <w:rPr>
          <w:spacing w:val="-2"/>
          <w:sz w:val="24"/>
        </w:rPr>
        <w:t xml:space="preserve"> </w:t>
      </w:r>
      <w:r>
        <w:rPr>
          <w:sz w:val="24"/>
        </w:rPr>
        <w:t>not exceed a partner’s proportionate use or relative benefit received consistent with the requirements of the Uniform Guidance. Under the SFM, the Governor may direct the LWDB, CEO(s), and required one-stop partners into renegotiations. In</w:t>
      </w:r>
      <w:r>
        <w:rPr>
          <w:spacing w:val="-1"/>
          <w:sz w:val="24"/>
        </w:rPr>
        <w:t xml:space="preserve"> </w:t>
      </w:r>
      <w:r>
        <w:rPr>
          <w:sz w:val="24"/>
        </w:rPr>
        <w:t>this</w:t>
      </w:r>
      <w:r>
        <w:rPr>
          <w:spacing w:val="-1"/>
          <w:sz w:val="24"/>
        </w:rPr>
        <w:t xml:space="preserve"> </w:t>
      </w:r>
      <w:r>
        <w:rPr>
          <w:sz w:val="24"/>
        </w:rPr>
        <w:t>event,</w:t>
      </w:r>
      <w:r>
        <w:rPr>
          <w:spacing w:val="-1"/>
          <w:sz w:val="24"/>
        </w:rPr>
        <w:t xml:space="preserve"> </w:t>
      </w:r>
      <w:r>
        <w:rPr>
          <w:sz w:val="24"/>
        </w:rPr>
        <w:t>parties</w:t>
      </w:r>
      <w:r>
        <w:rPr>
          <w:spacing w:val="-1"/>
          <w:sz w:val="24"/>
        </w:rPr>
        <w:t xml:space="preserve"> </w:t>
      </w:r>
      <w:r>
        <w:rPr>
          <w:sz w:val="24"/>
        </w:rPr>
        <w:t>may</w:t>
      </w:r>
      <w:r>
        <w:rPr>
          <w:spacing w:val="-6"/>
          <w:sz w:val="24"/>
        </w:rPr>
        <w:t xml:space="preserve"> </w:t>
      </w:r>
      <w:r>
        <w:rPr>
          <w:sz w:val="24"/>
        </w:rPr>
        <w:t>come</w:t>
      </w:r>
      <w:r>
        <w:rPr>
          <w:spacing w:val="-2"/>
          <w:sz w:val="24"/>
        </w:rPr>
        <w:t xml:space="preserve"> </w:t>
      </w:r>
      <w:r>
        <w:rPr>
          <w:sz w:val="24"/>
        </w:rPr>
        <w:t>to</w:t>
      </w:r>
      <w:r>
        <w:rPr>
          <w:spacing w:val="-1"/>
          <w:sz w:val="24"/>
        </w:rPr>
        <w:t xml:space="preserve"> </w:t>
      </w:r>
      <w:r>
        <w:rPr>
          <w:sz w:val="24"/>
        </w:rPr>
        <w:t>agreement,</w:t>
      </w:r>
      <w:r>
        <w:rPr>
          <w:spacing w:val="-1"/>
          <w:sz w:val="24"/>
        </w:rPr>
        <w:t xml:space="preserve"> </w:t>
      </w:r>
      <w:r>
        <w:rPr>
          <w:sz w:val="24"/>
        </w:rPr>
        <w:t>sign</w:t>
      </w:r>
      <w:r>
        <w:rPr>
          <w:spacing w:val="-1"/>
          <w:sz w:val="24"/>
        </w:rPr>
        <w:t xml:space="preserve"> </w:t>
      </w:r>
      <w:r>
        <w:rPr>
          <w:sz w:val="24"/>
        </w:rPr>
        <w:t>a</w:t>
      </w:r>
      <w:r>
        <w:rPr>
          <w:spacing w:val="-2"/>
          <w:sz w:val="24"/>
        </w:rPr>
        <w:t xml:space="preserve"> </w:t>
      </w:r>
      <w:r>
        <w:rPr>
          <w:sz w:val="24"/>
        </w:rPr>
        <w:t>MOU,</w:t>
      </w:r>
      <w:r>
        <w:rPr>
          <w:spacing w:val="-1"/>
          <w:sz w:val="24"/>
        </w:rPr>
        <w:t xml:space="preserve"> </w:t>
      </w:r>
      <w:r>
        <w:rPr>
          <w:sz w:val="24"/>
        </w:rPr>
        <w:t>and</w:t>
      </w:r>
      <w:r>
        <w:rPr>
          <w:spacing w:val="-1"/>
          <w:sz w:val="24"/>
        </w:rPr>
        <w:t xml:space="preserve"> </w:t>
      </w:r>
      <w:r>
        <w:rPr>
          <w:sz w:val="24"/>
        </w:rPr>
        <w:t>proceed</w:t>
      </w:r>
      <w:r>
        <w:rPr>
          <w:spacing w:val="-1"/>
          <w:sz w:val="24"/>
        </w:rPr>
        <w:t xml:space="preserve"> </w:t>
      </w:r>
      <w:r>
        <w:rPr>
          <w:sz w:val="24"/>
        </w:rPr>
        <w:t>under</w:t>
      </w:r>
      <w:r>
        <w:rPr>
          <w:spacing w:val="-2"/>
          <w:sz w:val="24"/>
        </w:rPr>
        <w:t xml:space="preserve"> </w:t>
      </w:r>
      <w:r>
        <w:rPr>
          <w:sz w:val="24"/>
        </w:rPr>
        <w:t>the LFM. Such actions do not require the redetermination of</w:t>
      </w:r>
      <w:r>
        <w:rPr>
          <w:spacing w:val="-1"/>
          <w:sz w:val="24"/>
        </w:rPr>
        <w:t xml:space="preserve"> </w:t>
      </w:r>
      <w:r>
        <w:rPr>
          <w:sz w:val="24"/>
        </w:rPr>
        <w:t>the applicable</w:t>
      </w:r>
      <w:r>
        <w:rPr>
          <w:spacing w:val="-1"/>
          <w:sz w:val="24"/>
        </w:rPr>
        <w:t xml:space="preserve"> </w:t>
      </w:r>
      <w:r>
        <w:rPr>
          <w:sz w:val="24"/>
        </w:rPr>
        <w:t>caps under the</w:t>
      </w:r>
      <w:r>
        <w:rPr>
          <w:spacing w:val="-1"/>
          <w:sz w:val="24"/>
        </w:rPr>
        <w:t xml:space="preserve"> </w:t>
      </w:r>
      <w:r>
        <w:rPr>
          <w:sz w:val="24"/>
        </w:rPr>
        <w:t>SFM. It is expected that the Governor generally will draw heavily from the local negotiation process throughout the implementation of the SFM. As such, even if consensus cannot ultimately be reached in a local area, it is to the benefit of each local one-stop partner to actively</w:t>
      </w:r>
      <w:r>
        <w:rPr>
          <w:spacing w:val="-2"/>
          <w:sz w:val="24"/>
        </w:rPr>
        <w:t xml:space="preserve"> </w:t>
      </w:r>
      <w:r>
        <w:rPr>
          <w:sz w:val="24"/>
        </w:rPr>
        <w:t xml:space="preserve">participate in local negotiations in a good faith effort to reach agreement. The Governor should </w:t>
      </w:r>
      <w:proofErr w:type="gramStart"/>
      <w:r>
        <w:rPr>
          <w:sz w:val="24"/>
        </w:rPr>
        <w:t>take into account</w:t>
      </w:r>
      <w:proofErr w:type="gramEnd"/>
      <w:r>
        <w:rPr>
          <w:sz w:val="24"/>
        </w:rPr>
        <w:t xml:space="preserve"> agreed upon budgets, proposed funding commitments, proposed or agreed upon proportionate share allocation methodologies, and other information generated during local negotiations. Parties negotiating in good faith will consequently have much more influence over the outcomes of </w:t>
      </w:r>
      <w:proofErr w:type="gramStart"/>
      <w:r>
        <w:rPr>
          <w:sz w:val="24"/>
        </w:rPr>
        <w:t>an</w:t>
      </w:r>
      <w:proofErr w:type="gramEnd"/>
      <w:r>
        <w:rPr>
          <w:sz w:val="24"/>
        </w:rPr>
        <w:t xml:space="preserve"> eventual implementation of the SFM, if that is necessary. The SFM’s programmatic caps create uncertainty for local o</w:t>
      </w:r>
      <w:r>
        <w:rPr>
          <w:sz w:val="24"/>
        </w:rPr>
        <w:t>ne-stop partners regarding how much they will be required to contribute toward infrastructure costs and the level of service they will be able to provide to their participants. For example, if only one local area in a State is unable to reach agreement, then that local area’s one-stop partners could be held responsible for the total difference</w:t>
      </w:r>
      <w:r>
        <w:rPr>
          <w:spacing w:val="28"/>
          <w:sz w:val="24"/>
        </w:rPr>
        <w:t xml:space="preserve"> </w:t>
      </w:r>
      <w:r>
        <w:rPr>
          <w:sz w:val="24"/>
        </w:rPr>
        <w:t>between</w:t>
      </w:r>
      <w:r>
        <w:rPr>
          <w:spacing w:val="32"/>
          <w:sz w:val="24"/>
        </w:rPr>
        <w:t xml:space="preserve"> </w:t>
      </w:r>
      <w:r>
        <w:rPr>
          <w:sz w:val="24"/>
        </w:rPr>
        <w:t>the</w:t>
      </w:r>
      <w:r>
        <w:rPr>
          <w:spacing w:val="34"/>
          <w:sz w:val="24"/>
        </w:rPr>
        <w:t xml:space="preserve"> </w:t>
      </w:r>
      <w:r>
        <w:rPr>
          <w:sz w:val="24"/>
        </w:rPr>
        <w:t>MPC</w:t>
      </w:r>
      <w:r>
        <w:rPr>
          <w:spacing w:val="33"/>
          <w:sz w:val="24"/>
        </w:rPr>
        <w:t xml:space="preserve"> </w:t>
      </w:r>
      <w:r>
        <w:rPr>
          <w:sz w:val="24"/>
        </w:rPr>
        <w:t>and</w:t>
      </w:r>
      <w:r>
        <w:rPr>
          <w:spacing w:val="32"/>
          <w:sz w:val="24"/>
        </w:rPr>
        <w:t xml:space="preserve"> </w:t>
      </w:r>
      <w:r>
        <w:rPr>
          <w:sz w:val="24"/>
        </w:rPr>
        <w:t>the</w:t>
      </w:r>
      <w:r>
        <w:rPr>
          <w:spacing w:val="31"/>
          <w:sz w:val="24"/>
        </w:rPr>
        <w:t xml:space="preserve"> </w:t>
      </w:r>
      <w:r>
        <w:rPr>
          <w:sz w:val="24"/>
        </w:rPr>
        <w:t>amount</w:t>
      </w:r>
      <w:r>
        <w:rPr>
          <w:spacing w:val="33"/>
          <w:sz w:val="24"/>
        </w:rPr>
        <w:t xml:space="preserve"> </w:t>
      </w:r>
      <w:r>
        <w:rPr>
          <w:sz w:val="24"/>
        </w:rPr>
        <w:t>that</w:t>
      </w:r>
      <w:r>
        <w:rPr>
          <w:spacing w:val="33"/>
          <w:sz w:val="24"/>
        </w:rPr>
        <w:t xml:space="preserve"> </w:t>
      </w:r>
      <w:r>
        <w:rPr>
          <w:sz w:val="24"/>
        </w:rPr>
        <w:t>the</w:t>
      </w:r>
      <w:r>
        <w:rPr>
          <w:spacing w:val="31"/>
          <w:sz w:val="24"/>
        </w:rPr>
        <w:t xml:space="preserve"> </w:t>
      </w:r>
      <w:r>
        <w:rPr>
          <w:sz w:val="24"/>
        </w:rPr>
        <w:t>consensus</w:t>
      </w:r>
      <w:r>
        <w:rPr>
          <w:spacing w:val="32"/>
          <w:sz w:val="24"/>
        </w:rPr>
        <w:t xml:space="preserve"> </w:t>
      </w:r>
      <w:r>
        <w:rPr>
          <w:sz w:val="24"/>
        </w:rPr>
        <w:t>area</w:t>
      </w:r>
      <w:r>
        <w:rPr>
          <w:spacing w:val="31"/>
          <w:sz w:val="24"/>
        </w:rPr>
        <w:t xml:space="preserve"> </w:t>
      </w:r>
      <w:r>
        <w:rPr>
          <w:sz w:val="24"/>
        </w:rPr>
        <w:t>is</w:t>
      </w:r>
      <w:r>
        <w:rPr>
          <w:spacing w:val="35"/>
          <w:sz w:val="24"/>
        </w:rPr>
        <w:t xml:space="preserve"> </w:t>
      </w:r>
      <w:r>
        <w:rPr>
          <w:sz w:val="24"/>
        </w:rPr>
        <w:t>already</w:t>
      </w:r>
      <w:r>
        <w:rPr>
          <w:spacing w:val="30"/>
          <w:sz w:val="24"/>
        </w:rPr>
        <w:t xml:space="preserve"> </w:t>
      </w:r>
      <w:r>
        <w:rPr>
          <w:sz w:val="24"/>
        </w:rPr>
        <w:t>considered</w:t>
      </w:r>
      <w:r>
        <w:rPr>
          <w:spacing w:val="32"/>
          <w:sz w:val="24"/>
        </w:rPr>
        <w:t xml:space="preserve"> </w:t>
      </w:r>
      <w:r>
        <w:rPr>
          <w:spacing w:val="-5"/>
          <w:sz w:val="24"/>
        </w:rPr>
        <w:t>to</w:t>
      </w:r>
    </w:p>
    <w:p w14:paraId="365A9768" w14:textId="77777777" w:rsidR="00E41A5B" w:rsidRDefault="00E41A5B">
      <w:pPr>
        <w:spacing w:line="276" w:lineRule="auto"/>
        <w:jc w:val="both"/>
        <w:rPr>
          <w:sz w:val="24"/>
        </w:rPr>
        <w:sectPr w:rsidR="00E41A5B">
          <w:pgSz w:w="12240" w:h="15840"/>
          <w:pgMar w:top="1360" w:right="80" w:bottom="1540" w:left="140" w:header="0" w:footer="1345" w:gutter="0"/>
          <w:cols w:space="720"/>
        </w:sectPr>
      </w:pPr>
    </w:p>
    <w:p w14:paraId="365A9769" w14:textId="77777777" w:rsidR="00E41A5B" w:rsidRDefault="00DA7B02">
      <w:pPr>
        <w:pStyle w:val="BodyText"/>
        <w:spacing w:before="74" w:line="276" w:lineRule="auto"/>
        <w:ind w:left="1299" w:right="1353"/>
      </w:pPr>
      <w:r>
        <w:lastRenderedPageBreak/>
        <w:t>have contributed towards the MPC. The Governor, not the one-stop partners, has the final say under the SFM concerning the proportionate shares of each local one-stop partner and the allocation method under</w:t>
      </w:r>
      <w:r>
        <w:rPr>
          <w:spacing w:val="-1"/>
        </w:rPr>
        <w:t xml:space="preserve"> </w:t>
      </w:r>
      <w:r>
        <w:t>which this is calculated, a</w:t>
      </w:r>
      <w:r>
        <w:rPr>
          <w:spacing w:val="-1"/>
        </w:rPr>
        <w:t xml:space="preserve"> </w:t>
      </w:r>
      <w:r>
        <w:t>one-stop partner</w:t>
      </w:r>
      <w:r>
        <w:rPr>
          <w:spacing w:val="-1"/>
        </w:rPr>
        <w:t xml:space="preserve"> </w:t>
      </w:r>
      <w:r>
        <w:t>could pay</w:t>
      </w:r>
      <w:r>
        <w:rPr>
          <w:spacing w:val="-2"/>
        </w:rPr>
        <w:t xml:space="preserve"> </w:t>
      </w:r>
      <w:r>
        <w:t>far</w:t>
      </w:r>
      <w:r>
        <w:rPr>
          <w:spacing w:val="-1"/>
        </w:rPr>
        <w:t xml:space="preserve"> </w:t>
      </w:r>
      <w:r>
        <w:t>more</w:t>
      </w:r>
      <w:r>
        <w:rPr>
          <w:spacing w:val="-1"/>
        </w:rPr>
        <w:t xml:space="preserve"> </w:t>
      </w:r>
      <w:r>
        <w:t>under</w:t>
      </w:r>
      <w:r>
        <w:rPr>
          <w:spacing w:val="-1"/>
        </w:rPr>
        <w:t xml:space="preserve"> </w:t>
      </w:r>
      <w:r>
        <w:t>the SFM than it would have paid under the LFM. One-stop operating budget and partner proportionate</w:t>
      </w:r>
      <w:r>
        <w:rPr>
          <w:spacing w:val="-3"/>
        </w:rPr>
        <w:t xml:space="preserve"> </w:t>
      </w:r>
      <w:r>
        <w:t>shares</w:t>
      </w:r>
      <w:r>
        <w:rPr>
          <w:spacing w:val="-1"/>
        </w:rPr>
        <w:t xml:space="preserve"> </w:t>
      </w:r>
      <w:r>
        <w:t>are</w:t>
      </w:r>
      <w:r>
        <w:rPr>
          <w:spacing w:val="-2"/>
        </w:rPr>
        <w:t xml:space="preserve"> </w:t>
      </w:r>
      <w:r>
        <w:t>calculated</w:t>
      </w:r>
      <w:r>
        <w:rPr>
          <w:spacing w:val="-1"/>
        </w:rPr>
        <w:t xml:space="preserve"> </w:t>
      </w:r>
      <w:r>
        <w:t>before</w:t>
      </w:r>
      <w:r>
        <w:rPr>
          <w:spacing w:val="-2"/>
        </w:rPr>
        <w:t xml:space="preserve"> </w:t>
      </w:r>
      <w:r>
        <w:t>the</w:t>
      </w:r>
      <w:r>
        <w:rPr>
          <w:spacing w:val="-2"/>
        </w:rPr>
        <w:t xml:space="preserve"> </w:t>
      </w:r>
      <w:r>
        <w:t>caps</w:t>
      </w:r>
      <w:r>
        <w:rPr>
          <w:spacing w:val="-3"/>
        </w:rPr>
        <w:t xml:space="preserve"> </w:t>
      </w:r>
      <w:r>
        <w:t>are</w:t>
      </w:r>
      <w:r>
        <w:rPr>
          <w:spacing w:val="-2"/>
        </w:rPr>
        <w:t xml:space="preserve"> </w:t>
      </w:r>
      <w:r>
        <w:t>calculated</w:t>
      </w:r>
      <w:r>
        <w:rPr>
          <w:spacing w:val="-1"/>
        </w:rPr>
        <w:t xml:space="preserve"> </w:t>
      </w:r>
      <w:r>
        <w:t>under</w:t>
      </w:r>
      <w:r>
        <w:rPr>
          <w:spacing w:val="-2"/>
        </w:rPr>
        <w:t xml:space="preserve"> </w:t>
      </w:r>
      <w:r>
        <w:t>the</w:t>
      </w:r>
      <w:r>
        <w:rPr>
          <w:spacing w:val="-2"/>
        </w:rPr>
        <w:t xml:space="preserve"> </w:t>
      </w:r>
      <w:r>
        <w:t>SFM,</w:t>
      </w:r>
      <w:r>
        <w:rPr>
          <w:spacing w:val="-1"/>
        </w:rPr>
        <w:t xml:space="preserve"> </w:t>
      </w:r>
      <w:r>
        <w:t>and</w:t>
      </w:r>
      <w:r>
        <w:rPr>
          <w:spacing w:val="-3"/>
        </w:rPr>
        <w:t xml:space="preserve"> </w:t>
      </w:r>
      <w:r>
        <w:t>the</w:t>
      </w:r>
      <w:r>
        <w:rPr>
          <w:spacing w:val="-2"/>
        </w:rPr>
        <w:t xml:space="preserve"> </w:t>
      </w:r>
      <w:r>
        <w:t>caps</w:t>
      </w:r>
      <w:r>
        <w:rPr>
          <w:spacing w:val="-1"/>
        </w:rPr>
        <w:t xml:space="preserve"> </w:t>
      </w:r>
      <w:r>
        <w:t>do not automatically contribute to a restriction of services. This order of calculations permits local one-stop partners that are willing to contribute above their applicable cap amounts within the bounds of the requirements of authorizing statutes, so long as no partner pays more than its proportionate share, based on proportionate use and relative benefit received, consistent with the Uniform Guidance in 2 CFR part 200.</w:t>
      </w:r>
    </w:p>
    <w:p w14:paraId="365A976A" w14:textId="77777777" w:rsidR="00E41A5B" w:rsidRDefault="00E41A5B">
      <w:pPr>
        <w:pStyle w:val="BodyText"/>
        <w:spacing w:before="33"/>
        <w:jc w:val="left"/>
      </w:pPr>
    </w:p>
    <w:p w14:paraId="365A976B" w14:textId="77777777" w:rsidR="00E41A5B" w:rsidRDefault="00DA7B02">
      <w:pPr>
        <w:pStyle w:val="ListParagraph"/>
        <w:numPr>
          <w:ilvl w:val="0"/>
          <w:numId w:val="22"/>
        </w:numPr>
        <w:tabs>
          <w:tab w:val="left" w:pos="1664"/>
        </w:tabs>
        <w:spacing w:line="276" w:lineRule="auto"/>
        <w:ind w:right="1358" w:firstLine="0"/>
        <w:rPr>
          <w:sz w:val="24"/>
        </w:rPr>
      </w:pPr>
      <w:r>
        <w:rPr>
          <w:b/>
          <w:sz w:val="24"/>
          <w:u w:val="single"/>
        </w:rPr>
        <w:t>Roles and Responsibilities</w:t>
      </w:r>
      <w:r>
        <w:rPr>
          <w:b/>
          <w:sz w:val="24"/>
        </w:rPr>
        <w:t>.</w:t>
      </w:r>
      <w:r>
        <w:rPr>
          <w:b/>
          <w:spacing w:val="40"/>
          <w:sz w:val="24"/>
        </w:rPr>
        <w:t xml:space="preserve"> </w:t>
      </w:r>
      <w:r>
        <w:rPr>
          <w:sz w:val="24"/>
        </w:rPr>
        <w:t>This section outlines the roles and responsibilities of Governor, State and LWDBs, CEOs, and one-stop partners.</w:t>
      </w:r>
    </w:p>
    <w:p w14:paraId="365A976C" w14:textId="77777777" w:rsidR="00E41A5B" w:rsidRDefault="00E41A5B">
      <w:pPr>
        <w:pStyle w:val="BodyText"/>
        <w:spacing w:before="42"/>
        <w:jc w:val="left"/>
      </w:pPr>
    </w:p>
    <w:p w14:paraId="365A976D" w14:textId="36EE5B16" w:rsidR="00E41A5B" w:rsidRDefault="00DA7B02">
      <w:pPr>
        <w:pStyle w:val="BodyText"/>
        <w:spacing w:line="276" w:lineRule="auto"/>
        <w:ind w:left="1300" w:right="1357"/>
      </w:pPr>
      <w:r>
        <w:rPr>
          <w:b/>
        </w:rPr>
        <w:t>Governor.</w:t>
      </w:r>
      <w:r>
        <w:rPr>
          <w:b/>
          <w:spacing w:val="40"/>
        </w:rPr>
        <w:t xml:space="preserve"> </w:t>
      </w:r>
      <w:r>
        <w:t xml:space="preserve">After consultation with CEOs and the State and LWDBs, the Governor must issue guidance, in accordance with 20 CFR </w:t>
      </w:r>
      <w:r w:rsidR="009148E4">
        <w:t>§§</w:t>
      </w:r>
      <w:r w:rsidR="009148E4">
        <w:t xml:space="preserve"> </w:t>
      </w:r>
      <w:r>
        <w:t>678.705, 34 CFR 361.705, and 34 CFR 463.705, about the funding of one-stop infrastructure costs to:</w:t>
      </w:r>
    </w:p>
    <w:p w14:paraId="365A976E" w14:textId="77777777" w:rsidR="00E41A5B" w:rsidRDefault="00E41A5B">
      <w:pPr>
        <w:pStyle w:val="BodyText"/>
        <w:spacing w:before="41"/>
        <w:jc w:val="left"/>
      </w:pPr>
    </w:p>
    <w:p w14:paraId="365A976F" w14:textId="77777777" w:rsidR="00E41A5B" w:rsidRDefault="00DA7B02">
      <w:pPr>
        <w:pStyle w:val="ListParagraph"/>
        <w:numPr>
          <w:ilvl w:val="1"/>
          <w:numId w:val="22"/>
        </w:numPr>
        <w:tabs>
          <w:tab w:val="left" w:pos="2740"/>
        </w:tabs>
        <w:spacing w:line="276" w:lineRule="auto"/>
        <w:ind w:left="2740" w:right="1356"/>
        <w:rPr>
          <w:sz w:val="24"/>
        </w:rPr>
      </w:pPr>
      <w:r>
        <w:rPr>
          <w:sz w:val="24"/>
        </w:rPr>
        <w:t>State-administered one-stop partner programs, to determine partner contributions to the one-stop delivery system, based on each partner’s proportionate use of the one-stop system and relative benefit received, consistent with the Uniform Guidance at 2 CFR part 200; and</w:t>
      </w:r>
    </w:p>
    <w:p w14:paraId="365A9770" w14:textId="51C6249D" w:rsidR="00E41A5B" w:rsidRDefault="00DA7B02">
      <w:pPr>
        <w:pStyle w:val="ListParagraph"/>
        <w:numPr>
          <w:ilvl w:val="1"/>
          <w:numId w:val="22"/>
        </w:numPr>
        <w:tabs>
          <w:tab w:val="left" w:pos="2740"/>
        </w:tabs>
        <w:spacing w:line="276" w:lineRule="auto"/>
        <w:ind w:left="2740" w:right="1353"/>
        <w:rPr>
          <w:sz w:val="24"/>
        </w:rPr>
      </w:pPr>
      <w:r>
        <w:rPr>
          <w:sz w:val="24"/>
        </w:rPr>
        <w:t>LWDBs, CEOs, and one-stop partners, to assist in determining equitable and stable methods of funding infrastructure costs based on partners’ proportionate</w:t>
      </w:r>
      <w:r>
        <w:rPr>
          <w:spacing w:val="40"/>
          <w:sz w:val="24"/>
        </w:rPr>
        <w:t xml:space="preserve"> </w:t>
      </w:r>
      <w:r>
        <w:rPr>
          <w:sz w:val="24"/>
        </w:rPr>
        <w:t xml:space="preserve">use and relative benefit received from operating within the one-stop delivery system (WIOA </w:t>
      </w:r>
      <w:r w:rsidR="009148E4">
        <w:rPr>
          <w:sz w:val="24"/>
        </w:rPr>
        <w:t>S</w:t>
      </w:r>
      <w:r>
        <w:rPr>
          <w:sz w:val="24"/>
        </w:rPr>
        <w:t>ec.121(h)(1)(B)(</w:t>
      </w:r>
      <w:proofErr w:type="spellStart"/>
      <w:r>
        <w:rPr>
          <w:sz w:val="24"/>
        </w:rPr>
        <w:t>i</w:t>
      </w:r>
      <w:proofErr w:type="spellEnd"/>
      <w:r>
        <w:rPr>
          <w:sz w:val="24"/>
        </w:rPr>
        <w:t>)). The guidance issued by the Governor must cover partner roles in identifying infrastructure costs; approaches to facilitate development of a reasonable cost allocation methodology/methodologies, in</w:t>
      </w:r>
      <w:r>
        <w:rPr>
          <w:spacing w:val="40"/>
          <w:sz w:val="24"/>
        </w:rPr>
        <w:t xml:space="preserve"> </w:t>
      </w:r>
      <w:r>
        <w:rPr>
          <w:sz w:val="24"/>
        </w:rPr>
        <w:t>which infrastructure costs are charged based upon proportionate use and the relative benefits received by the partner; timelines for the appeal process; and timelines to notify the Governor of failure to reach a local consensus. The Governor also is responsible for performing many of the functions of the SFM, as is detailed above.</w:t>
      </w:r>
    </w:p>
    <w:p w14:paraId="365A9771" w14:textId="248ECE66" w:rsidR="00E41A5B" w:rsidRDefault="00DA7B02">
      <w:pPr>
        <w:pStyle w:val="BodyText"/>
        <w:spacing w:before="193" w:line="276" w:lineRule="auto"/>
        <w:ind w:left="1299" w:right="1356"/>
      </w:pPr>
      <w:r>
        <w:rPr>
          <w:b/>
        </w:rPr>
        <w:t xml:space="preserve">GWDB. </w:t>
      </w:r>
      <w:r>
        <w:t>The GWDB</w:t>
      </w:r>
      <w:r>
        <w:rPr>
          <w:spacing w:val="-2"/>
        </w:rPr>
        <w:t xml:space="preserve"> </w:t>
      </w:r>
      <w:proofErr w:type="gramStart"/>
      <w:r>
        <w:t>consult</w:t>
      </w:r>
      <w:proofErr w:type="gramEnd"/>
      <w:r>
        <w:t xml:space="preserve"> with the</w:t>
      </w:r>
      <w:r>
        <w:rPr>
          <w:spacing w:val="-1"/>
        </w:rPr>
        <w:t xml:space="preserve"> </w:t>
      </w:r>
      <w:r>
        <w:t>Governor</w:t>
      </w:r>
      <w:r>
        <w:rPr>
          <w:spacing w:val="-1"/>
        </w:rPr>
        <w:t xml:space="preserve"> </w:t>
      </w:r>
      <w:r>
        <w:t>to assist with the</w:t>
      </w:r>
      <w:r>
        <w:rPr>
          <w:spacing w:val="-1"/>
        </w:rPr>
        <w:t xml:space="preserve"> </w:t>
      </w:r>
      <w:r>
        <w:t>issuance of</w:t>
      </w:r>
      <w:r>
        <w:rPr>
          <w:spacing w:val="-1"/>
        </w:rPr>
        <w:t xml:space="preserve"> </w:t>
      </w:r>
      <w:r>
        <w:t xml:space="preserve">guidance regarding the funding of infrastructure costs, as outlined above and in 20 CFR </w:t>
      </w:r>
      <w:r w:rsidR="009148E4" w:rsidRPr="009148E4">
        <w:t>§</w:t>
      </w:r>
      <w:r w:rsidR="009148E4">
        <w:t xml:space="preserve"> </w:t>
      </w:r>
      <w:r>
        <w:t xml:space="preserve">678.705(a), 34 CFR </w:t>
      </w:r>
      <w:r w:rsidR="009148E4" w:rsidRPr="009148E4">
        <w:t>§</w:t>
      </w:r>
      <w:r w:rsidR="009148E4">
        <w:t xml:space="preserve"> </w:t>
      </w:r>
      <w:r>
        <w:t xml:space="preserve">361.705(a), and 34 CFR </w:t>
      </w:r>
      <w:r w:rsidR="009148E4" w:rsidRPr="009148E4">
        <w:t>§</w:t>
      </w:r>
      <w:r w:rsidR="009148E4">
        <w:t xml:space="preserve"> </w:t>
      </w:r>
      <w:r>
        <w:t>463.705(a). GWDBs also are responsible for the development of the formula used by the Governor under the SFM to determine a one-stop center’s budget if either a budget</w:t>
      </w:r>
      <w:r>
        <w:rPr>
          <w:spacing w:val="5"/>
        </w:rPr>
        <w:t xml:space="preserve"> </w:t>
      </w:r>
      <w:r>
        <w:t>was</w:t>
      </w:r>
      <w:r>
        <w:rPr>
          <w:spacing w:val="6"/>
        </w:rPr>
        <w:t xml:space="preserve"> </w:t>
      </w:r>
      <w:r>
        <w:t>not</w:t>
      </w:r>
      <w:r>
        <w:rPr>
          <w:spacing w:val="6"/>
        </w:rPr>
        <w:t xml:space="preserve"> </w:t>
      </w:r>
      <w:r>
        <w:t>agreed</w:t>
      </w:r>
      <w:r>
        <w:rPr>
          <w:spacing w:val="6"/>
        </w:rPr>
        <w:t xml:space="preserve"> </w:t>
      </w:r>
      <w:r>
        <w:t>upon</w:t>
      </w:r>
      <w:r>
        <w:rPr>
          <w:spacing w:val="6"/>
        </w:rPr>
        <w:t xml:space="preserve"> </w:t>
      </w:r>
      <w:r>
        <w:t>during</w:t>
      </w:r>
      <w:r>
        <w:rPr>
          <w:spacing w:val="3"/>
        </w:rPr>
        <w:t xml:space="preserve"> </w:t>
      </w:r>
      <w:r>
        <w:t>initial</w:t>
      </w:r>
      <w:r>
        <w:rPr>
          <w:spacing w:val="6"/>
        </w:rPr>
        <w:t xml:space="preserve"> </w:t>
      </w:r>
      <w:r>
        <w:t>local</w:t>
      </w:r>
      <w:r>
        <w:rPr>
          <w:spacing w:val="5"/>
        </w:rPr>
        <w:t xml:space="preserve"> </w:t>
      </w:r>
      <w:r>
        <w:t>negotiations</w:t>
      </w:r>
      <w:r>
        <w:rPr>
          <w:spacing w:val="6"/>
        </w:rPr>
        <w:t xml:space="preserve"> </w:t>
      </w:r>
      <w:r>
        <w:t>or</w:t>
      </w:r>
      <w:r>
        <w:rPr>
          <w:spacing w:val="5"/>
        </w:rPr>
        <w:t xml:space="preserve"> </w:t>
      </w:r>
      <w:r>
        <w:t>the</w:t>
      </w:r>
      <w:r>
        <w:rPr>
          <w:spacing w:val="5"/>
        </w:rPr>
        <w:t xml:space="preserve"> </w:t>
      </w:r>
      <w:r>
        <w:t>Governor</w:t>
      </w:r>
      <w:r>
        <w:rPr>
          <w:spacing w:val="5"/>
        </w:rPr>
        <w:t xml:space="preserve"> </w:t>
      </w:r>
      <w:r>
        <w:t>rejects</w:t>
      </w:r>
      <w:r>
        <w:rPr>
          <w:spacing w:val="6"/>
        </w:rPr>
        <w:t xml:space="preserve"> </w:t>
      </w:r>
      <w:r>
        <w:t>a</w:t>
      </w:r>
      <w:r>
        <w:rPr>
          <w:spacing w:val="5"/>
        </w:rPr>
        <w:t xml:space="preserve"> </w:t>
      </w:r>
      <w:r>
        <w:t>budget</w:t>
      </w:r>
      <w:r>
        <w:rPr>
          <w:spacing w:val="6"/>
        </w:rPr>
        <w:t xml:space="preserve"> </w:t>
      </w:r>
      <w:r>
        <w:rPr>
          <w:spacing w:val="-5"/>
        </w:rPr>
        <w:t>for</w:t>
      </w:r>
    </w:p>
    <w:p w14:paraId="365A9772" w14:textId="77777777" w:rsidR="00E41A5B" w:rsidRDefault="00E41A5B">
      <w:pPr>
        <w:spacing w:line="276" w:lineRule="auto"/>
        <w:sectPr w:rsidR="00E41A5B">
          <w:pgSz w:w="12240" w:h="15840"/>
          <w:pgMar w:top="1360" w:right="80" w:bottom="1540" w:left="140" w:header="0" w:footer="1345" w:gutter="0"/>
          <w:cols w:space="720"/>
        </w:sectPr>
      </w:pPr>
    </w:p>
    <w:p w14:paraId="365A9773" w14:textId="0C5B6C04" w:rsidR="00E41A5B" w:rsidRDefault="00DA7B02">
      <w:pPr>
        <w:pStyle w:val="BodyText"/>
        <w:spacing w:before="74"/>
        <w:ind w:left="1300"/>
        <w:jc w:val="left"/>
      </w:pPr>
      <w:r>
        <w:lastRenderedPageBreak/>
        <w:t>the</w:t>
      </w:r>
      <w:r>
        <w:rPr>
          <w:spacing w:val="18"/>
        </w:rPr>
        <w:t xml:space="preserve"> </w:t>
      </w:r>
      <w:r>
        <w:t>reasons</w:t>
      </w:r>
      <w:r>
        <w:rPr>
          <w:spacing w:val="20"/>
        </w:rPr>
        <w:t xml:space="preserve"> </w:t>
      </w:r>
      <w:r>
        <w:t>explained</w:t>
      </w:r>
      <w:r>
        <w:rPr>
          <w:spacing w:val="20"/>
        </w:rPr>
        <w:t xml:space="preserve"> </w:t>
      </w:r>
      <w:r>
        <w:t>earlier</w:t>
      </w:r>
      <w:r>
        <w:rPr>
          <w:spacing w:val="19"/>
        </w:rPr>
        <w:t xml:space="preserve"> </w:t>
      </w:r>
      <w:r>
        <w:t>in</w:t>
      </w:r>
      <w:r>
        <w:rPr>
          <w:spacing w:val="20"/>
        </w:rPr>
        <w:t xml:space="preserve"> </w:t>
      </w:r>
      <w:r>
        <w:t>this</w:t>
      </w:r>
      <w:r>
        <w:rPr>
          <w:spacing w:val="20"/>
        </w:rPr>
        <w:t xml:space="preserve"> </w:t>
      </w:r>
      <w:r>
        <w:t>guidance</w:t>
      </w:r>
      <w:r>
        <w:rPr>
          <w:spacing w:val="19"/>
        </w:rPr>
        <w:t xml:space="preserve"> </w:t>
      </w:r>
      <w:r>
        <w:t>(20</w:t>
      </w:r>
      <w:r>
        <w:rPr>
          <w:spacing w:val="22"/>
        </w:rPr>
        <w:t xml:space="preserve"> </w:t>
      </w:r>
      <w:r>
        <w:t>CFR</w:t>
      </w:r>
      <w:r>
        <w:rPr>
          <w:spacing w:val="21"/>
        </w:rPr>
        <w:t xml:space="preserve"> </w:t>
      </w:r>
      <w:r w:rsidR="009148E4">
        <w:t>§§</w:t>
      </w:r>
      <w:r w:rsidR="009148E4">
        <w:t xml:space="preserve"> </w:t>
      </w:r>
      <w:r>
        <w:t>678.745,</w:t>
      </w:r>
      <w:r>
        <w:rPr>
          <w:spacing w:val="20"/>
        </w:rPr>
        <w:t xml:space="preserve"> </w:t>
      </w:r>
      <w:r>
        <w:t>34</w:t>
      </w:r>
      <w:r>
        <w:rPr>
          <w:spacing w:val="20"/>
        </w:rPr>
        <w:t xml:space="preserve"> </w:t>
      </w:r>
      <w:r>
        <w:t>CFR</w:t>
      </w:r>
      <w:r>
        <w:rPr>
          <w:spacing w:val="18"/>
        </w:rPr>
        <w:t xml:space="preserve"> </w:t>
      </w:r>
      <w:r>
        <w:t>361.745,</w:t>
      </w:r>
      <w:r>
        <w:rPr>
          <w:spacing w:val="20"/>
        </w:rPr>
        <w:t xml:space="preserve"> </w:t>
      </w:r>
      <w:r>
        <w:t>and</w:t>
      </w:r>
      <w:r>
        <w:rPr>
          <w:spacing w:val="20"/>
        </w:rPr>
        <w:t xml:space="preserve"> </w:t>
      </w:r>
      <w:r>
        <w:t>34</w:t>
      </w:r>
      <w:r>
        <w:rPr>
          <w:spacing w:val="20"/>
        </w:rPr>
        <w:t xml:space="preserve"> </w:t>
      </w:r>
      <w:r>
        <w:rPr>
          <w:spacing w:val="-5"/>
        </w:rPr>
        <w:t>CFR</w:t>
      </w:r>
    </w:p>
    <w:p w14:paraId="365A9774" w14:textId="77777777" w:rsidR="00E41A5B" w:rsidRDefault="00DA7B02">
      <w:pPr>
        <w:pStyle w:val="BodyText"/>
        <w:spacing w:before="41"/>
        <w:ind w:left="1300"/>
        <w:jc w:val="left"/>
      </w:pPr>
      <w:r>
        <w:rPr>
          <w:spacing w:val="-2"/>
        </w:rPr>
        <w:t>463.745).</w:t>
      </w:r>
    </w:p>
    <w:p w14:paraId="365A9776" w14:textId="31995530" w:rsidR="00E41A5B" w:rsidRDefault="00DA7B02" w:rsidP="009148E4">
      <w:pPr>
        <w:pStyle w:val="BodyText"/>
        <w:spacing w:before="242" w:line="276" w:lineRule="auto"/>
        <w:ind w:left="1300" w:right="1359"/>
      </w:pPr>
      <w:r>
        <w:rPr>
          <w:b/>
        </w:rPr>
        <w:t>LWDBs.</w:t>
      </w:r>
      <w:r>
        <w:rPr>
          <w:b/>
          <w:spacing w:val="80"/>
        </w:rPr>
        <w:t xml:space="preserve"> </w:t>
      </w:r>
      <w:r>
        <w:t>LWDBs and one-stop partners must establish, in the MOU, an IFA for how the</w:t>
      </w:r>
      <w:r>
        <w:rPr>
          <w:spacing w:val="40"/>
        </w:rPr>
        <w:t xml:space="preserve"> </w:t>
      </w:r>
      <w:r>
        <w:t xml:space="preserve">LWDB and programs will fund the infrastructure costs of the one-stop centers (WIOA </w:t>
      </w:r>
      <w:r w:rsidR="009148E4">
        <w:t>S</w:t>
      </w:r>
      <w:r>
        <w:t>ec. 121(c)(1),</w:t>
      </w:r>
      <w:r>
        <w:rPr>
          <w:spacing w:val="12"/>
        </w:rPr>
        <w:t xml:space="preserve"> </w:t>
      </w:r>
      <w:r>
        <w:t>20</w:t>
      </w:r>
      <w:r>
        <w:rPr>
          <w:spacing w:val="15"/>
        </w:rPr>
        <w:t xml:space="preserve"> </w:t>
      </w:r>
      <w:r>
        <w:t>CFR</w:t>
      </w:r>
      <w:r>
        <w:rPr>
          <w:spacing w:val="16"/>
        </w:rPr>
        <w:t xml:space="preserve"> </w:t>
      </w:r>
      <w:r w:rsidR="009148E4">
        <w:t>§§</w:t>
      </w:r>
      <w:r w:rsidR="009148E4">
        <w:t xml:space="preserve"> </w:t>
      </w:r>
      <w:r>
        <w:t>678.500(b)(2)(</w:t>
      </w:r>
      <w:proofErr w:type="spellStart"/>
      <w:r>
        <w:t>i</w:t>
      </w:r>
      <w:proofErr w:type="spellEnd"/>
      <w:r>
        <w:t>),</w:t>
      </w:r>
      <w:r>
        <w:rPr>
          <w:spacing w:val="14"/>
        </w:rPr>
        <w:t xml:space="preserve"> </w:t>
      </w:r>
      <w:r>
        <w:t>34</w:t>
      </w:r>
      <w:r>
        <w:rPr>
          <w:spacing w:val="15"/>
        </w:rPr>
        <w:t xml:space="preserve"> </w:t>
      </w:r>
      <w:r>
        <w:t>CFR</w:t>
      </w:r>
      <w:r>
        <w:rPr>
          <w:spacing w:val="16"/>
        </w:rPr>
        <w:t xml:space="preserve"> </w:t>
      </w:r>
      <w:r>
        <w:t>361.500(b)(2)(</w:t>
      </w:r>
      <w:proofErr w:type="spellStart"/>
      <w:r>
        <w:t>i</w:t>
      </w:r>
      <w:proofErr w:type="spellEnd"/>
      <w:r>
        <w:t>),</w:t>
      </w:r>
      <w:r>
        <w:rPr>
          <w:spacing w:val="15"/>
        </w:rPr>
        <w:t xml:space="preserve"> </w:t>
      </w:r>
      <w:r>
        <w:t>and</w:t>
      </w:r>
      <w:r>
        <w:rPr>
          <w:spacing w:val="14"/>
        </w:rPr>
        <w:t xml:space="preserve"> </w:t>
      </w:r>
      <w:r>
        <w:t>34</w:t>
      </w:r>
      <w:r>
        <w:rPr>
          <w:spacing w:val="15"/>
        </w:rPr>
        <w:t xml:space="preserve"> </w:t>
      </w:r>
      <w:r>
        <w:t>CFR</w:t>
      </w:r>
      <w:r>
        <w:rPr>
          <w:spacing w:val="16"/>
        </w:rPr>
        <w:t xml:space="preserve"> </w:t>
      </w:r>
      <w:r>
        <w:t>463.500(b)(2)(</w:t>
      </w:r>
      <w:proofErr w:type="spellStart"/>
      <w:r>
        <w:t>i</w:t>
      </w:r>
      <w:proofErr w:type="spellEnd"/>
      <w:r>
        <w:t>)).</w:t>
      </w:r>
      <w:r>
        <w:rPr>
          <w:spacing w:val="18"/>
        </w:rPr>
        <w:t xml:space="preserve"> </w:t>
      </w:r>
      <w:r>
        <w:rPr>
          <w:spacing w:val="-5"/>
        </w:rPr>
        <w:t>If</w:t>
      </w:r>
      <w:r w:rsidR="009148E4">
        <w:t xml:space="preserve"> </w:t>
      </w:r>
      <w:r>
        <w:t xml:space="preserve">one-stop partners are unable to reach consensus on funding for infrastructure costs of one-stop centers, the LWDB must notify the GWDB, Governor, and relevant State agency (20 CFR </w:t>
      </w:r>
      <w:r w:rsidR="009148E4">
        <w:t>§§</w:t>
      </w:r>
      <w:r w:rsidR="009148E4">
        <w:t xml:space="preserve"> </w:t>
      </w:r>
      <w:r>
        <w:t>678.510(c), 34 CFR 361.510(c), and 34 CFR 463.510(c)).</w:t>
      </w:r>
    </w:p>
    <w:p w14:paraId="365A9777" w14:textId="7F7A92C1" w:rsidR="00E41A5B" w:rsidRDefault="00DA7B02">
      <w:pPr>
        <w:pStyle w:val="BodyText"/>
        <w:spacing w:before="200" w:line="276" w:lineRule="auto"/>
        <w:ind w:left="1300" w:right="1358"/>
      </w:pPr>
      <w:r>
        <w:rPr>
          <w:b/>
        </w:rPr>
        <w:t xml:space="preserve">Chief Elected Officials. </w:t>
      </w:r>
      <w:r>
        <w:t>CEOs consult with the Governor to assist in issuing guidelines regarding the one-stop service delivery</w:t>
      </w:r>
      <w:r>
        <w:rPr>
          <w:spacing w:val="-2"/>
        </w:rPr>
        <w:t xml:space="preserve"> </w:t>
      </w:r>
      <w:r>
        <w:t xml:space="preserve">funding mechanism, as outlined above (20 CFR </w:t>
      </w:r>
      <w:r w:rsidR="009148E4">
        <w:t>§§</w:t>
      </w:r>
      <w:r w:rsidR="009148E4">
        <w:t xml:space="preserve"> </w:t>
      </w:r>
      <w:r>
        <w:t>678.705, 34 CFR 361.705, and 34 CFR 463.705).</w:t>
      </w:r>
    </w:p>
    <w:p w14:paraId="365A9778" w14:textId="7264C485" w:rsidR="00E41A5B" w:rsidRDefault="00DA7B02">
      <w:pPr>
        <w:pStyle w:val="BodyText"/>
        <w:spacing w:before="200" w:line="276" w:lineRule="auto"/>
        <w:ind w:left="1300" w:right="1357"/>
      </w:pPr>
      <w:r>
        <w:rPr>
          <w:b/>
        </w:rPr>
        <w:t>One-Stop Partners.</w:t>
      </w:r>
      <w:r>
        <w:rPr>
          <w:b/>
          <w:spacing w:val="40"/>
        </w:rPr>
        <w:t xml:space="preserve"> </w:t>
      </w:r>
      <w:r>
        <w:t xml:space="preserve">One-stop partners are to act in good faith and negotiate infrastructure costs and additional costs of operating a local one-stop delivery system in a transparent manner (20 CFR </w:t>
      </w:r>
      <w:r w:rsidR="009148E4">
        <w:t>§§</w:t>
      </w:r>
      <w:r w:rsidR="009148E4">
        <w:t xml:space="preserve"> </w:t>
      </w:r>
      <w:r>
        <w:t xml:space="preserve">678.510(a), 34 CFR 361.510(a), and 34 CFR 463.510(a)). </w:t>
      </w:r>
      <w:proofErr w:type="gramStart"/>
      <w:r>
        <w:t>Jointly-funded</w:t>
      </w:r>
      <w:proofErr w:type="gramEnd"/>
      <w:r>
        <w:t xml:space="preserve"> infrastructure and additional costs are a necessary foundation for a one-</w:t>
      </w:r>
      <w:proofErr w:type="gramStart"/>
      <w:r>
        <w:t>stop service</w:t>
      </w:r>
      <w:proofErr w:type="gramEnd"/>
      <w:r>
        <w:t xml:space="preserve"> delivery system. Through the sharing of infrastructure costs and additional costs, partners are empowered to build a robust</w:t>
      </w:r>
      <w:r>
        <w:rPr>
          <w:spacing w:val="40"/>
        </w:rPr>
        <w:t xml:space="preserve"> </w:t>
      </w:r>
      <w:r>
        <w:t xml:space="preserve">one-stop delivery system. By embracing the one-stop opportunities, one-stop partners </w:t>
      </w:r>
      <w:proofErr w:type="gramStart"/>
      <w:r>
        <w:t>are able to</w:t>
      </w:r>
      <w:proofErr w:type="gramEnd"/>
      <w:r>
        <w:t xml:space="preserve"> build community-benefiting bridges, rather than silos of programmatic isolation. These partnerships may reduce administrative burden and costs and increase customer access and performance outcomes.</w:t>
      </w:r>
    </w:p>
    <w:p w14:paraId="365A9779" w14:textId="2C38A495" w:rsidR="00E41A5B" w:rsidRDefault="00DA7B02">
      <w:pPr>
        <w:pStyle w:val="BodyText"/>
        <w:spacing w:before="199" w:line="276" w:lineRule="auto"/>
        <w:ind w:left="1300" w:right="1354"/>
      </w:pPr>
      <w:r>
        <w:t>Required one-stop partner programs have specific governance, operations, and service delivery roles,</w:t>
      </w:r>
      <w:r>
        <w:rPr>
          <w:spacing w:val="-1"/>
        </w:rPr>
        <w:t xml:space="preserve"> </w:t>
      </w:r>
      <w:r>
        <w:t>which are</w:t>
      </w:r>
      <w:r>
        <w:rPr>
          <w:spacing w:val="-2"/>
        </w:rPr>
        <w:t xml:space="preserve"> </w:t>
      </w:r>
      <w:r>
        <w:t>outlined in</w:t>
      </w:r>
      <w:r>
        <w:rPr>
          <w:spacing w:val="-1"/>
        </w:rPr>
        <w:t xml:space="preserve"> </w:t>
      </w:r>
      <w:r>
        <w:t xml:space="preserve">WIOA </w:t>
      </w:r>
      <w:r w:rsidR="009148E4">
        <w:t>S</w:t>
      </w:r>
      <w:r>
        <w:t>ec. 121(b)(1)(A)</w:t>
      </w:r>
      <w:r>
        <w:rPr>
          <w:spacing w:val="-2"/>
        </w:rPr>
        <w:t xml:space="preserve"> </w:t>
      </w:r>
      <w:r>
        <w:t>and 20</w:t>
      </w:r>
      <w:r>
        <w:rPr>
          <w:spacing w:val="-1"/>
        </w:rPr>
        <w:t xml:space="preserve"> </w:t>
      </w:r>
      <w:r>
        <w:t xml:space="preserve">CFR </w:t>
      </w:r>
      <w:r w:rsidR="009148E4">
        <w:t>§§</w:t>
      </w:r>
      <w:r w:rsidR="009148E4">
        <w:t xml:space="preserve"> </w:t>
      </w:r>
      <w:r>
        <w:t>678.420, 34</w:t>
      </w:r>
      <w:r>
        <w:rPr>
          <w:spacing w:val="-1"/>
        </w:rPr>
        <w:t xml:space="preserve"> </w:t>
      </w:r>
      <w:r>
        <w:t>CFR 361.420,</w:t>
      </w:r>
      <w:r>
        <w:rPr>
          <w:spacing w:val="-1"/>
        </w:rPr>
        <w:t xml:space="preserve"> </w:t>
      </w:r>
      <w:r>
        <w:t xml:space="preserve">and 34 CFR 463.420. Additional partners provide services </w:t>
      </w:r>
      <w:proofErr w:type="gramStart"/>
      <w:r>
        <w:t>and also</w:t>
      </w:r>
      <w:proofErr w:type="gramEnd"/>
      <w:r>
        <w:t xml:space="preserve"> must contribute towards the infrastructure and additional costs of operating a local one-stop delivery system.</w:t>
      </w:r>
    </w:p>
    <w:p w14:paraId="365A977A" w14:textId="77777777" w:rsidR="00E41A5B" w:rsidRDefault="00DA7B02">
      <w:pPr>
        <w:pStyle w:val="ListParagraph"/>
        <w:numPr>
          <w:ilvl w:val="0"/>
          <w:numId w:val="22"/>
        </w:numPr>
        <w:tabs>
          <w:tab w:val="left" w:pos="1669"/>
        </w:tabs>
        <w:spacing w:before="199" w:line="276" w:lineRule="auto"/>
        <w:ind w:right="1360" w:firstLine="0"/>
        <w:rPr>
          <w:sz w:val="24"/>
        </w:rPr>
      </w:pPr>
      <w:r>
        <w:rPr>
          <w:b/>
          <w:sz w:val="24"/>
          <w:u w:val="single"/>
        </w:rPr>
        <w:t>Implementation Timeline</w:t>
      </w:r>
      <w:r>
        <w:rPr>
          <w:sz w:val="24"/>
        </w:rPr>
        <w:t>. With this extension, final IFAs for PY 2017 must be in place no later than January 1, 2018. Local areas may use the funding agreement they used for PY 2016, with any</w:t>
      </w:r>
      <w:r>
        <w:rPr>
          <w:spacing w:val="-2"/>
          <w:sz w:val="24"/>
        </w:rPr>
        <w:t xml:space="preserve"> </w:t>
      </w:r>
      <w:r>
        <w:rPr>
          <w:sz w:val="24"/>
        </w:rPr>
        <w:t>such modifications as the partners may</w:t>
      </w:r>
      <w:r>
        <w:rPr>
          <w:spacing w:val="-2"/>
          <w:sz w:val="24"/>
        </w:rPr>
        <w:t xml:space="preserve"> </w:t>
      </w:r>
      <w:r>
        <w:rPr>
          <w:sz w:val="24"/>
        </w:rPr>
        <w:t xml:space="preserve">agree to, to fund infrastructure costs in the local area. The extension does not change the deadline of July 1, </w:t>
      </w:r>
      <w:proofErr w:type="gramStart"/>
      <w:r>
        <w:rPr>
          <w:sz w:val="24"/>
        </w:rPr>
        <w:t>2017</w:t>
      </w:r>
      <w:proofErr w:type="gramEnd"/>
      <w:r>
        <w:rPr>
          <w:sz w:val="24"/>
        </w:rPr>
        <w:t xml:space="preserve"> for the rest of the MOU.</w:t>
      </w:r>
    </w:p>
    <w:p w14:paraId="365A977B" w14:textId="77777777" w:rsidR="00E41A5B" w:rsidRDefault="00DA7B02">
      <w:pPr>
        <w:pStyle w:val="BodyText"/>
        <w:spacing w:before="202"/>
        <w:ind w:left="1300"/>
        <w:jc w:val="left"/>
      </w:pPr>
      <w:r>
        <w:t>Reference</w:t>
      </w:r>
      <w:r>
        <w:rPr>
          <w:spacing w:val="-4"/>
        </w:rPr>
        <w:t xml:space="preserve"> </w:t>
      </w:r>
      <w:r>
        <w:t>SCP</w:t>
      </w:r>
      <w:r>
        <w:rPr>
          <w:spacing w:val="-1"/>
        </w:rPr>
        <w:t xml:space="preserve"> </w:t>
      </w:r>
      <w:r>
        <w:t>1.5</w:t>
      </w:r>
      <w:r>
        <w:rPr>
          <w:spacing w:val="-2"/>
        </w:rPr>
        <w:t xml:space="preserve"> </w:t>
      </w:r>
      <w:r>
        <w:t>on</w:t>
      </w:r>
      <w:r>
        <w:rPr>
          <w:spacing w:val="-1"/>
        </w:rPr>
        <w:t xml:space="preserve"> </w:t>
      </w:r>
      <w:r>
        <w:t>Memorandum</w:t>
      </w:r>
      <w:r>
        <w:rPr>
          <w:spacing w:val="-1"/>
        </w:rPr>
        <w:t xml:space="preserve"> </w:t>
      </w:r>
      <w:r>
        <w:t>of</w:t>
      </w:r>
      <w:r>
        <w:rPr>
          <w:spacing w:val="-2"/>
        </w:rPr>
        <w:t xml:space="preserve"> </w:t>
      </w:r>
      <w:r>
        <w:t>Understanding</w:t>
      </w:r>
      <w:r>
        <w:rPr>
          <w:spacing w:val="-3"/>
        </w:rPr>
        <w:t xml:space="preserve"> </w:t>
      </w:r>
      <w:r>
        <w:rPr>
          <w:spacing w:val="-2"/>
        </w:rPr>
        <w:t>(MOU)</w:t>
      </w:r>
    </w:p>
    <w:p w14:paraId="365A977C" w14:textId="77777777" w:rsidR="00E41A5B" w:rsidRDefault="00E41A5B">
      <w:pPr>
        <w:sectPr w:rsidR="00E41A5B">
          <w:pgSz w:w="12240" w:h="15840"/>
          <w:pgMar w:top="1360" w:right="80" w:bottom="1540" w:left="140" w:header="0" w:footer="1345" w:gutter="0"/>
          <w:cols w:space="720"/>
        </w:sectPr>
      </w:pPr>
    </w:p>
    <w:p w14:paraId="365A977D" w14:textId="77777777" w:rsidR="00E41A5B" w:rsidRDefault="00DA7B02">
      <w:pPr>
        <w:spacing w:before="76"/>
        <w:ind w:left="1842" w:right="1682"/>
        <w:jc w:val="center"/>
        <w:rPr>
          <w:b/>
          <w:sz w:val="24"/>
        </w:rPr>
      </w:pPr>
      <w:r>
        <w:rPr>
          <w:b/>
          <w:sz w:val="24"/>
        </w:rPr>
        <w:lastRenderedPageBreak/>
        <w:t>Attachment</w:t>
      </w:r>
      <w:r>
        <w:rPr>
          <w:b/>
          <w:spacing w:val="-5"/>
          <w:sz w:val="24"/>
        </w:rPr>
        <w:t xml:space="preserve"> </w:t>
      </w:r>
      <w:r>
        <w:rPr>
          <w:b/>
          <w:sz w:val="24"/>
        </w:rPr>
        <w:t>I:</w:t>
      </w:r>
      <w:r>
        <w:rPr>
          <w:b/>
          <w:spacing w:val="56"/>
          <w:sz w:val="24"/>
        </w:rPr>
        <w:t xml:space="preserve"> </w:t>
      </w:r>
      <w:r>
        <w:rPr>
          <w:b/>
          <w:sz w:val="24"/>
        </w:rPr>
        <w:t>Examples</w:t>
      </w:r>
      <w:r>
        <w:rPr>
          <w:b/>
          <w:spacing w:val="-1"/>
          <w:sz w:val="24"/>
        </w:rPr>
        <w:t xml:space="preserve"> </w:t>
      </w:r>
      <w:r>
        <w:rPr>
          <w:b/>
          <w:sz w:val="24"/>
        </w:rPr>
        <w:t>of</w:t>
      </w:r>
      <w:r>
        <w:rPr>
          <w:b/>
          <w:spacing w:val="-1"/>
          <w:sz w:val="24"/>
        </w:rPr>
        <w:t xml:space="preserve"> </w:t>
      </w:r>
      <w:r>
        <w:rPr>
          <w:b/>
          <w:sz w:val="24"/>
        </w:rPr>
        <w:t>Cost</w:t>
      </w:r>
      <w:r>
        <w:rPr>
          <w:b/>
          <w:spacing w:val="-2"/>
          <w:sz w:val="24"/>
        </w:rPr>
        <w:t xml:space="preserve"> </w:t>
      </w:r>
      <w:r>
        <w:rPr>
          <w:b/>
          <w:sz w:val="24"/>
        </w:rPr>
        <w:t>Pools</w:t>
      </w:r>
      <w:r>
        <w:rPr>
          <w:b/>
          <w:spacing w:val="-1"/>
          <w:sz w:val="24"/>
        </w:rPr>
        <w:t xml:space="preserve"> </w:t>
      </w:r>
      <w:r>
        <w:rPr>
          <w:b/>
          <w:sz w:val="24"/>
        </w:rPr>
        <w:t>and</w:t>
      </w:r>
      <w:r>
        <w:rPr>
          <w:b/>
          <w:spacing w:val="-2"/>
          <w:sz w:val="24"/>
        </w:rPr>
        <w:t xml:space="preserve"> </w:t>
      </w:r>
      <w:r>
        <w:rPr>
          <w:b/>
          <w:sz w:val="24"/>
        </w:rPr>
        <w:t>Possible</w:t>
      </w:r>
      <w:r>
        <w:rPr>
          <w:b/>
          <w:spacing w:val="-2"/>
          <w:sz w:val="24"/>
        </w:rPr>
        <w:t xml:space="preserve"> </w:t>
      </w:r>
      <w:r>
        <w:rPr>
          <w:b/>
          <w:sz w:val="24"/>
        </w:rPr>
        <w:t>Allocation</w:t>
      </w:r>
      <w:r>
        <w:rPr>
          <w:b/>
          <w:spacing w:val="-1"/>
          <w:sz w:val="24"/>
        </w:rPr>
        <w:t xml:space="preserve"> </w:t>
      </w:r>
      <w:r>
        <w:rPr>
          <w:b/>
          <w:spacing w:val="-2"/>
          <w:sz w:val="24"/>
        </w:rPr>
        <w:t>Bases</w:t>
      </w:r>
    </w:p>
    <w:p w14:paraId="365A977E" w14:textId="77777777" w:rsidR="00E41A5B" w:rsidRDefault="00E41A5B">
      <w:pPr>
        <w:pStyle w:val="BodyText"/>
        <w:spacing w:before="107"/>
        <w:jc w:val="left"/>
        <w:rPr>
          <w:b/>
          <w:sz w:val="20"/>
        </w:rPr>
      </w:pPr>
    </w:p>
    <w:tbl>
      <w:tblPr>
        <w:tblW w:w="0" w:type="auto"/>
        <w:tblInd w:w="2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849"/>
        <w:gridCol w:w="5710"/>
      </w:tblGrid>
      <w:tr w:rsidR="00E41A5B" w14:paraId="365A9781" w14:textId="77777777">
        <w:trPr>
          <w:trHeight w:val="560"/>
        </w:trPr>
        <w:tc>
          <w:tcPr>
            <w:tcW w:w="5849" w:type="dxa"/>
          </w:tcPr>
          <w:p w14:paraId="365A977F" w14:textId="77777777" w:rsidR="00E41A5B" w:rsidRDefault="00DA7B02">
            <w:pPr>
              <w:pStyle w:val="TableParagraph"/>
              <w:spacing w:before="147"/>
              <w:ind w:left="13"/>
              <w:jc w:val="center"/>
              <w:rPr>
                <w:b/>
                <w:sz w:val="24"/>
              </w:rPr>
            </w:pPr>
            <w:r>
              <w:rPr>
                <w:b/>
                <w:sz w:val="24"/>
              </w:rPr>
              <w:t>Cost</w:t>
            </w:r>
            <w:r>
              <w:rPr>
                <w:b/>
                <w:spacing w:val="-2"/>
                <w:sz w:val="24"/>
              </w:rPr>
              <w:t xml:space="preserve"> </w:t>
            </w:r>
            <w:r>
              <w:rPr>
                <w:b/>
                <w:spacing w:val="-4"/>
                <w:sz w:val="24"/>
              </w:rPr>
              <w:t>Pool</w:t>
            </w:r>
          </w:p>
        </w:tc>
        <w:tc>
          <w:tcPr>
            <w:tcW w:w="5710" w:type="dxa"/>
          </w:tcPr>
          <w:p w14:paraId="365A9780" w14:textId="77777777" w:rsidR="00E41A5B" w:rsidRDefault="00DA7B02">
            <w:pPr>
              <w:pStyle w:val="TableParagraph"/>
              <w:spacing w:before="147"/>
              <w:ind w:left="1497"/>
              <w:rPr>
                <w:b/>
                <w:sz w:val="24"/>
              </w:rPr>
            </w:pPr>
            <w:r>
              <w:rPr>
                <w:b/>
                <w:sz w:val="24"/>
              </w:rPr>
              <w:t>Possible</w:t>
            </w:r>
            <w:r>
              <w:rPr>
                <w:b/>
                <w:spacing w:val="-4"/>
                <w:sz w:val="24"/>
              </w:rPr>
              <w:t xml:space="preserve"> </w:t>
            </w:r>
            <w:r>
              <w:rPr>
                <w:b/>
                <w:sz w:val="24"/>
              </w:rPr>
              <w:t>Allocation</w:t>
            </w:r>
            <w:r>
              <w:rPr>
                <w:b/>
                <w:spacing w:val="-3"/>
                <w:sz w:val="24"/>
              </w:rPr>
              <w:t xml:space="preserve"> </w:t>
            </w:r>
            <w:r>
              <w:rPr>
                <w:b/>
                <w:spacing w:val="-4"/>
                <w:sz w:val="24"/>
              </w:rPr>
              <w:t>Bases</w:t>
            </w:r>
          </w:p>
        </w:tc>
      </w:tr>
      <w:tr w:rsidR="00E41A5B" w14:paraId="365A9784" w14:textId="77777777">
        <w:trPr>
          <w:trHeight w:val="1139"/>
        </w:trPr>
        <w:tc>
          <w:tcPr>
            <w:tcW w:w="5849" w:type="dxa"/>
            <w:shd w:val="clear" w:color="auto" w:fill="C1C1C1"/>
          </w:tcPr>
          <w:p w14:paraId="365A9782" w14:textId="77777777" w:rsidR="00E41A5B" w:rsidRDefault="00DA7B02">
            <w:pPr>
              <w:pStyle w:val="TableParagraph"/>
              <w:ind w:left="105" w:right="80"/>
              <w:jc w:val="both"/>
              <w:rPr>
                <w:sz w:val="24"/>
              </w:rPr>
            </w:pPr>
            <w:r>
              <w:rPr>
                <w:b/>
                <w:sz w:val="24"/>
              </w:rPr>
              <w:t xml:space="preserve">Facilities: </w:t>
            </w:r>
            <w:r>
              <w:rPr>
                <w:sz w:val="24"/>
              </w:rPr>
              <w:t>Building rent, maintenance costs, utilities, tenant improvements, or any other similar costs related to the physical structure housing the one-stop center.</w:t>
            </w:r>
          </w:p>
        </w:tc>
        <w:tc>
          <w:tcPr>
            <w:tcW w:w="5710" w:type="dxa"/>
            <w:shd w:val="clear" w:color="auto" w:fill="C1C1C1"/>
          </w:tcPr>
          <w:p w14:paraId="365A9783" w14:textId="77777777" w:rsidR="00E41A5B" w:rsidRDefault="00DA7B02">
            <w:pPr>
              <w:pStyle w:val="TableParagraph"/>
              <w:ind w:right="466"/>
              <w:jc w:val="both"/>
              <w:rPr>
                <w:sz w:val="24"/>
              </w:rPr>
            </w:pPr>
            <w:r>
              <w:rPr>
                <w:sz w:val="24"/>
              </w:rPr>
              <w:t>Square footage occupied by each partner agency as compared to the total space. Workstation usage by partners as compared to total workstations.</w:t>
            </w:r>
          </w:p>
        </w:tc>
      </w:tr>
      <w:tr w:rsidR="00E41A5B" w14:paraId="365A9787" w14:textId="77777777">
        <w:trPr>
          <w:trHeight w:val="1139"/>
        </w:trPr>
        <w:tc>
          <w:tcPr>
            <w:tcW w:w="5849" w:type="dxa"/>
          </w:tcPr>
          <w:p w14:paraId="365A9785" w14:textId="77777777" w:rsidR="00E41A5B" w:rsidRDefault="00DA7B02">
            <w:pPr>
              <w:pStyle w:val="TableParagraph"/>
              <w:ind w:left="105" w:right="146"/>
              <w:jc w:val="both"/>
              <w:rPr>
                <w:sz w:val="24"/>
              </w:rPr>
            </w:pPr>
            <w:r>
              <w:rPr>
                <w:b/>
                <w:sz w:val="24"/>
              </w:rPr>
              <w:t xml:space="preserve">Telecommunications: </w:t>
            </w:r>
            <w:r>
              <w:rPr>
                <w:sz w:val="24"/>
              </w:rPr>
              <w:t>Monthly telephone costs, telephone system equipment, data lines, T-1 lines, and other similar costs.</w:t>
            </w:r>
          </w:p>
        </w:tc>
        <w:tc>
          <w:tcPr>
            <w:tcW w:w="5710" w:type="dxa"/>
          </w:tcPr>
          <w:p w14:paraId="365A9786" w14:textId="77777777" w:rsidR="00E41A5B" w:rsidRDefault="00DA7B02">
            <w:pPr>
              <w:pStyle w:val="TableParagraph"/>
              <w:spacing w:line="270" w:lineRule="exact"/>
              <w:rPr>
                <w:sz w:val="24"/>
              </w:rPr>
            </w:pPr>
            <w:r>
              <w:rPr>
                <w:sz w:val="24"/>
              </w:rPr>
              <w:t>Dedicated</w:t>
            </w:r>
            <w:r>
              <w:rPr>
                <w:spacing w:val="-4"/>
                <w:sz w:val="24"/>
              </w:rPr>
              <w:t xml:space="preserve"> </w:t>
            </w:r>
            <w:r>
              <w:rPr>
                <w:sz w:val="24"/>
              </w:rPr>
              <w:t>telephone</w:t>
            </w:r>
            <w:r>
              <w:rPr>
                <w:spacing w:val="-2"/>
                <w:sz w:val="24"/>
              </w:rPr>
              <w:t xml:space="preserve"> </w:t>
            </w:r>
            <w:r>
              <w:rPr>
                <w:sz w:val="24"/>
              </w:rPr>
              <w:t>units</w:t>
            </w:r>
            <w:r>
              <w:rPr>
                <w:spacing w:val="-1"/>
                <w:sz w:val="24"/>
              </w:rPr>
              <w:t xml:space="preserve"> </w:t>
            </w:r>
            <w:r>
              <w:rPr>
                <w:sz w:val="24"/>
              </w:rPr>
              <w:t>as</w:t>
            </w:r>
            <w:r>
              <w:rPr>
                <w:spacing w:val="-2"/>
                <w:sz w:val="24"/>
              </w:rPr>
              <w:t xml:space="preserve"> </w:t>
            </w:r>
            <w:r>
              <w:rPr>
                <w:sz w:val="24"/>
              </w:rPr>
              <w:t>compared</w:t>
            </w:r>
            <w:r>
              <w:rPr>
                <w:spacing w:val="1"/>
                <w:sz w:val="24"/>
              </w:rPr>
              <w:t xml:space="preserve"> </w:t>
            </w:r>
            <w:r>
              <w:rPr>
                <w:sz w:val="24"/>
              </w:rPr>
              <w:t>to</w:t>
            </w:r>
            <w:r>
              <w:rPr>
                <w:spacing w:val="-1"/>
                <w:sz w:val="24"/>
              </w:rPr>
              <w:t xml:space="preserve"> </w:t>
            </w:r>
            <w:r>
              <w:rPr>
                <w:sz w:val="24"/>
              </w:rPr>
              <w:t>all</w:t>
            </w:r>
            <w:r>
              <w:rPr>
                <w:spacing w:val="-1"/>
                <w:sz w:val="24"/>
              </w:rPr>
              <w:t xml:space="preserve"> </w:t>
            </w:r>
            <w:r>
              <w:rPr>
                <w:spacing w:val="-2"/>
                <w:sz w:val="24"/>
              </w:rPr>
              <w:t>units.</w:t>
            </w:r>
          </w:p>
        </w:tc>
      </w:tr>
      <w:tr w:rsidR="00E41A5B" w14:paraId="365A978A" w14:textId="77777777">
        <w:trPr>
          <w:trHeight w:val="1100"/>
        </w:trPr>
        <w:tc>
          <w:tcPr>
            <w:tcW w:w="5849" w:type="dxa"/>
            <w:shd w:val="clear" w:color="auto" w:fill="C1C1C1"/>
          </w:tcPr>
          <w:p w14:paraId="365A9788" w14:textId="77777777" w:rsidR="00E41A5B" w:rsidRDefault="00DA7B02">
            <w:pPr>
              <w:pStyle w:val="TableParagraph"/>
              <w:ind w:left="105" w:right="367"/>
              <w:jc w:val="both"/>
              <w:rPr>
                <w:sz w:val="24"/>
              </w:rPr>
            </w:pPr>
            <w:r>
              <w:rPr>
                <w:b/>
                <w:sz w:val="24"/>
              </w:rPr>
              <w:t xml:space="preserve">Information Technology: </w:t>
            </w:r>
            <w:r>
              <w:rPr>
                <w:sz w:val="24"/>
              </w:rPr>
              <w:t>Shared equipment,</w:t>
            </w:r>
            <w:r>
              <w:rPr>
                <w:spacing w:val="40"/>
                <w:sz w:val="24"/>
              </w:rPr>
              <w:t xml:space="preserve"> </w:t>
            </w:r>
            <w:r>
              <w:rPr>
                <w:sz w:val="24"/>
              </w:rPr>
              <w:t>software, IT maintenance costs, Internet access, and other similar costs.</w:t>
            </w:r>
          </w:p>
        </w:tc>
        <w:tc>
          <w:tcPr>
            <w:tcW w:w="5710" w:type="dxa"/>
            <w:shd w:val="clear" w:color="auto" w:fill="C1C1C1"/>
          </w:tcPr>
          <w:p w14:paraId="365A9789" w14:textId="77777777" w:rsidR="00E41A5B" w:rsidRDefault="00DA7B02">
            <w:pPr>
              <w:pStyle w:val="TableParagraph"/>
              <w:ind w:right="372"/>
              <w:rPr>
                <w:sz w:val="24"/>
              </w:rPr>
            </w:pPr>
            <w:r>
              <w:rPr>
                <w:sz w:val="24"/>
              </w:rPr>
              <w:t>Number</w:t>
            </w:r>
            <w:r>
              <w:rPr>
                <w:spacing w:val="35"/>
                <w:sz w:val="24"/>
              </w:rPr>
              <w:t xml:space="preserve"> </w:t>
            </w:r>
            <w:r>
              <w:rPr>
                <w:sz w:val="24"/>
              </w:rPr>
              <w:t>of</w:t>
            </w:r>
            <w:r>
              <w:rPr>
                <w:spacing w:val="37"/>
                <w:sz w:val="24"/>
              </w:rPr>
              <w:t xml:space="preserve"> </w:t>
            </w:r>
            <w:r>
              <w:rPr>
                <w:sz w:val="24"/>
              </w:rPr>
              <w:t>dedicated</w:t>
            </w:r>
            <w:r>
              <w:rPr>
                <w:spacing w:val="38"/>
                <w:sz w:val="24"/>
              </w:rPr>
              <w:t xml:space="preserve"> </w:t>
            </w:r>
            <w:r>
              <w:rPr>
                <w:sz w:val="24"/>
              </w:rPr>
              <w:t>computers</w:t>
            </w:r>
            <w:r>
              <w:rPr>
                <w:spacing w:val="36"/>
                <w:sz w:val="24"/>
              </w:rPr>
              <w:t xml:space="preserve"> </w:t>
            </w:r>
            <w:r>
              <w:rPr>
                <w:sz w:val="24"/>
              </w:rPr>
              <w:t>(including</w:t>
            </w:r>
            <w:r>
              <w:rPr>
                <w:spacing w:val="36"/>
                <w:sz w:val="24"/>
              </w:rPr>
              <w:t xml:space="preserve"> </w:t>
            </w:r>
            <w:r>
              <w:rPr>
                <w:sz w:val="24"/>
              </w:rPr>
              <w:t>all necessary equipment) as compared to total.</w:t>
            </w:r>
          </w:p>
        </w:tc>
      </w:tr>
      <w:tr w:rsidR="00E41A5B" w14:paraId="365A978D" w14:textId="77777777">
        <w:trPr>
          <w:trHeight w:val="1360"/>
        </w:trPr>
        <w:tc>
          <w:tcPr>
            <w:tcW w:w="5849" w:type="dxa"/>
          </w:tcPr>
          <w:p w14:paraId="365A978B" w14:textId="77777777" w:rsidR="00E41A5B" w:rsidRDefault="00DA7B02">
            <w:pPr>
              <w:pStyle w:val="TableParagraph"/>
              <w:ind w:left="105" w:right="88"/>
              <w:jc w:val="both"/>
              <w:rPr>
                <w:sz w:val="24"/>
              </w:rPr>
            </w:pPr>
            <w:r>
              <w:rPr>
                <w:b/>
                <w:sz w:val="24"/>
              </w:rPr>
              <w:t xml:space="preserve">Resource Center: </w:t>
            </w:r>
            <w:r>
              <w:rPr>
                <w:sz w:val="24"/>
              </w:rPr>
              <w:t>Costs of shared equipment, displays, computer learning, specialized software for computer learning, furniture, copier, fax machine; may also include related staff costs.</w:t>
            </w:r>
          </w:p>
        </w:tc>
        <w:tc>
          <w:tcPr>
            <w:tcW w:w="5710" w:type="dxa"/>
          </w:tcPr>
          <w:p w14:paraId="365A978C" w14:textId="77777777" w:rsidR="00E41A5B" w:rsidRDefault="00DA7B02">
            <w:pPr>
              <w:pStyle w:val="TableParagraph"/>
              <w:ind w:right="372"/>
              <w:rPr>
                <w:sz w:val="24"/>
              </w:rPr>
            </w:pPr>
            <w:r>
              <w:rPr>
                <w:sz w:val="24"/>
              </w:rPr>
              <w:t>Number</w:t>
            </w:r>
            <w:r>
              <w:rPr>
                <w:spacing w:val="-9"/>
                <w:sz w:val="24"/>
              </w:rPr>
              <w:t xml:space="preserve"> </w:t>
            </w:r>
            <w:r>
              <w:rPr>
                <w:sz w:val="24"/>
              </w:rPr>
              <w:t>of</w:t>
            </w:r>
            <w:r>
              <w:rPr>
                <w:spacing w:val="-9"/>
                <w:sz w:val="24"/>
              </w:rPr>
              <w:t xml:space="preserve"> </w:t>
            </w:r>
            <w:r>
              <w:rPr>
                <w:sz w:val="24"/>
              </w:rPr>
              <w:t>program</w:t>
            </w:r>
            <w:r>
              <w:rPr>
                <w:spacing w:val="-8"/>
                <w:sz w:val="24"/>
              </w:rPr>
              <w:t xml:space="preserve"> </w:t>
            </w:r>
            <w:r>
              <w:rPr>
                <w:sz w:val="24"/>
              </w:rPr>
              <w:t>participants</w:t>
            </w:r>
            <w:r>
              <w:rPr>
                <w:spacing w:val="-8"/>
                <w:sz w:val="24"/>
              </w:rPr>
              <w:t xml:space="preserve"> </w:t>
            </w:r>
            <w:r>
              <w:rPr>
                <w:sz w:val="24"/>
              </w:rPr>
              <w:t>or</w:t>
            </w:r>
            <w:r>
              <w:rPr>
                <w:spacing w:val="-9"/>
                <w:sz w:val="24"/>
              </w:rPr>
              <w:t xml:space="preserve"> </w:t>
            </w:r>
            <w:r>
              <w:rPr>
                <w:sz w:val="24"/>
              </w:rPr>
              <w:t>reportable individuals utilizing the resource center.</w:t>
            </w:r>
          </w:p>
        </w:tc>
      </w:tr>
      <w:tr w:rsidR="00E41A5B" w14:paraId="365A9790" w14:textId="77777777">
        <w:trPr>
          <w:trHeight w:val="1139"/>
        </w:trPr>
        <w:tc>
          <w:tcPr>
            <w:tcW w:w="5849" w:type="dxa"/>
            <w:shd w:val="clear" w:color="auto" w:fill="C1C1C1"/>
          </w:tcPr>
          <w:p w14:paraId="365A978E" w14:textId="77777777" w:rsidR="00E41A5B" w:rsidRDefault="00DA7B02">
            <w:pPr>
              <w:pStyle w:val="TableParagraph"/>
              <w:ind w:left="105" w:right="146"/>
              <w:jc w:val="both"/>
              <w:rPr>
                <w:sz w:val="24"/>
              </w:rPr>
            </w:pPr>
            <w:r>
              <w:rPr>
                <w:b/>
                <w:sz w:val="24"/>
              </w:rPr>
              <w:t xml:space="preserve">Common Intake System: </w:t>
            </w:r>
            <w:r>
              <w:rPr>
                <w:sz w:val="24"/>
              </w:rPr>
              <w:t>Costs of developing common intake data formats, preparation and interview of customers, and similar costs.</w:t>
            </w:r>
          </w:p>
        </w:tc>
        <w:tc>
          <w:tcPr>
            <w:tcW w:w="5710" w:type="dxa"/>
            <w:shd w:val="clear" w:color="auto" w:fill="C1C1C1"/>
          </w:tcPr>
          <w:p w14:paraId="365A978F" w14:textId="77777777" w:rsidR="00E41A5B" w:rsidRDefault="00DA7B02">
            <w:pPr>
              <w:pStyle w:val="TableParagraph"/>
              <w:ind w:right="441"/>
              <w:jc w:val="both"/>
              <w:rPr>
                <w:sz w:val="24"/>
              </w:rPr>
            </w:pPr>
            <w:r>
              <w:rPr>
                <w:sz w:val="24"/>
              </w:rPr>
              <w:t>Use of common data formats and data elements required for each program. Use of number of customer or participant records maintained by each partner program.</w:t>
            </w:r>
          </w:p>
        </w:tc>
      </w:tr>
      <w:tr w:rsidR="00E41A5B" w14:paraId="365A9793" w14:textId="77777777">
        <w:trPr>
          <w:trHeight w:val="1105"/>
        </w:trPr>
        <w:tc>
          <w:tcPr>
            <w:tcW w:w="5849" w:type="dxa"/>
          </w:tcPr>
          <w:p w14:paraId="365A9791" w14:textId="77777777" w:rsidR="00E41A5B" w:rsidRDefault="00DA7B02">
            <w:pPr>
              <w:pStyle w:val="TableParagraph"/>
              <w:ind w:left="105"/>
              <w:rPr>
                <w:sz w:val="24"/>
              </w:rPr>
            </w:pPr>
            <w:r>
              <w:rPr>
                <w:b/>
                <w:sz w:val="24"/>
              </w:rPr>
              <w:t>One-Stop</w:t>
            </w:r>
            <w:r>
              <w:rPr>
                <w:b/>
                <w:spacing w:val="-5"/>
                <w:sz w:val="24"/>
              </w:rPr>
              <w:t xml:space="preserve"> </w:t>
            </w:r>
            <w:r>
              <w:rPr>
                <w:b/>
                <w:sz w:val="24"/>
              </w:rPr>
              <w:t>Center</w:t>
            </w:r>
            <w:r>
              <w:rPr>
                <w:b/>
                <w:spacing w:val="-6"/>
                <w:sz w:val="24"/>
              </w:rPr>
              <w:t xml:space="preserve"> </w:t>
            </w:r>
            <w:r>
              <w:rPr>
                <w:b/>
                <w:sz w:val="24"/>
              </w:rPr>
              <w:t>Management</w:t>
            </w:r>
            <w:r>
              <w:rPr>
                <w:b/>
                <w:spacing w:val="-6"/>
                <w:sz w:val="24"/>
              </w:rPr>
              <w:t xml:space="preserve"> </w:t>
            </w:r>
            <w:r>
              <w:rPr>
                <w:b/>
                <w:sz w:val="24"/>
              </w:rPr>
              <w:t>Staff:</w:t>
            </w:r>
            <w:r>
              <w:rPr>
                <w:b/>
                <w:spacing w:val="-6"/>
                <w:sz w:val="24"/>
              </w:rPr>
              <w:t xml:space="preserve"> </w:t>
            </w:r>
            <w:r>
              <w:rPr>
                <w:sz w:val="24"/>
              </w:rPr>
              <w:t>Costs</w:t>
            </w:r>
            <w:r>
              <w:rPr>
                <w:spacing w:val="-5"/>
                <w:sz w:val="24"/>
              </w:rPr>
              <w:t xml:space="preserve"> </w:t>
            </w:r>
            <w:r>
              <w:rPr>
                <w:sz w:val="24"/>
              </w:rPr>
              <w:t>of</w:t>
            </w:r>
            <w:r>
              <w:rPr>
                <w:spacing w:val="-6"/>
                <w:sz w:val="24"/>
              </w:rPr>
              <w:t xml:space="preserve"> </w:t>
            </w:r>
            <w:r>
              <w:rPr>
                <w:sz w:val="24"/>
              </w:rPr>
              <w:t>the</w:t>
            </w:r>
            <w:r>
              <w:rPr>
                <w:spacing w:val="-6"/>
                <w:sz w:val="24"/>
              </w:rPr>
              <w:t xml:space="preserve"> </w:t>
            </w:r>
            <w:r>
              <w:rPr>
                <w:sz w:val="24"/>
              </w:rPr>
              <w:t xml:space="preserve">center </w:t>
            </w:r>
            <w:r>
              <w:rPr>
                <w:spacing w:val="-2"/>
                <w:sz w:val="24"/>
              </w:rPr>
              <w:t>director.</w:t>
            </w:r>
          </w:p>
        </w:tc>
        <w:tc>
          <w:tcPr>
            <w:tcW w:w="5710" w:type="dxa"/>
          </w:tcPr>
          <w:p w14:paraId="365A9792" w14:textId="77777777" w:rsidR="00E41A5B" w:rsidRDefault="00DA7B02">
            <w:pPr>
              <w:pStyle w:val="TableParagraph"/>
              <w:spacing w:line="276" w:lineRule="exact"/>
              <w:ind w:right="372"/>
              <w:rPr>
                <w:sz w:val="24"/>
              </w:rPr>
            </w:pPr>
            <w:r>
              <w:rPr>
                <w:sz w:val="24"/>
              </w:rPr>
              <w:t>Number of partner program staff FTEs. Square footage</w:t>
            </w:r>
            <w:r>
              <w:rPr>
                <w:spacing w:val="-6"/>
                <w:sz w:val="24"/>
              </w:rPr>
              <w:t xml:space="preserve"> </w:t>
            </w:r>
            <w:r>
              <w:rPr>
                <w:sz w:val="24"/>
              </w:rPr>
              <w:t>of</w:t>
            </w:r>
            <w:r>
              <w:rPr>
                <w:spacing w:val="-6"/>
                <w:sz w:val="24"/>
              </w:rPr>
              <w:t xml:space="preserve"> </w:t>
            </w:r>
            <w:r>
              <w:rPr>
                <w:sz w:val="24"/>
              </w:rPr>
              <w:t>partner</w:t>
            </w:r>
            <w:r>
              <w:rPr>
                <w:spacing w:val="-6"/>
                <w:sz w:val="24"/>
              </w:rPr>
              <w:t xml:space="preserve"> </w:t>
            </w:r>
            <w:r>
              <w:rPr>
                <w:sz w:val="24"/>
              </w:rPr>
              <w:t>program</w:t>
            </w:r>
            <w:r>
              <w:rPr>
                <w:spacing w:val="-5"/>
                <w:sz w:val="24"/>
              </w:rPr>
              <w:t xml:space="preserve"> </w:t>
            </w:r>
            <w:r>
              <w:rPr>
                <w:sz w:val="24"/>
              </w:rPr>
              <w:t>benefit</w:t>
            </w:r>
            <w:r>
              <w:rPr>
                <w:spacing w:val="-5"/>
                <w:sz w:val="24"/>
              </w:rPr>
              <w:t xml:space="preserve"> </w:t>
            </w:r>
            <w:r>
              <w:rPr>
                <w:sz w:val="24"/>
              </w:rPr>
              <w:t>or</w:t>
            </w:r>
            <w:r>
              <w:rPr>
                <w:spacing w:val="-6"/>
                <w:sz w:val="24"/>
              </w:rPr>
              <w:t xml:space="preserve"> </w:t>
            </w:r>
            <w:r>
              <w:rPr>
                <w:sz w:val="24"/>
              </w:rPr>
              <w:t>number</w:t>
            </w:r>
            <w:r>
              <w:rPr>
                <w:spacing w:val="-6"/>
                <w:sz w:val="24"/>
              </w:rPr>
              <w:t xml:space="preserve"> </w:t>
            </w:r>
            <w:r>
              <w:rPr>
                <w:sz w:val="24"/>
              </w:rPr>
              <w:t xml:space="preserve">of program participants and reportable individuals </w:t>
            </w:r>
            <w:r>
              <w:rPr>
                <w:spacing w:val="-2"/>
                <w:sz w:val="24"/>
              </w:rPr>
              <w:t>served.</w:t>
            </w:r>
          </w:p>
        </w:tc>
      </w:tr>
      <w:tr w:rsidR="00E41A5B" w14:paraId="365A9797" w14:textId="77777777">
        <w:trPr>
          <w:trHeight w:val="860"/>
        </w:trPr>
        <w:tc>
          <w:tcPr>
            <w:tcW w:w="5849" w:type="dxa"/>
          </w:tcPr>
          <w:p w14:paraId="365A9794" w14:textId="77777777" w:rsidR="00E41A5B" w:rsidRDefault="00DA7B02">
            <w:pPr>
              <w:pStyle w:val="TableParagraph"/>
              <w:spacing w:line="270" w:lineRule="exact"/>
              <w:ind w:left="105"/>
              <w:rPr>
                <w:b/>
                <w:sz w:val="24"/>
              </w:rPr>
            </w:pPr>
            <w:r>
              <w:rPr>
                <w:b/>
                <w:sz w:val="24"/>
              </w:rPr>
              <w:t>One-Stop</w:t>
            </w:r>
            <w:r>
              <w:rPr>
                <w:b/>
                <w:spacing w:val="-3"/>
                <w:sz w:val="24"/>
              </w:rPr>
              <w:t xml:space="preserve"> </w:t>
            </w:r>
            <w:r>
              <w:rPr>
                <w:b/>
                <w:sz w:val="24"/>
              </w:rPr>
              <w:t>Center</w:t>
            </w:r>
            <w:r>
              <w:rPr>
                <w:b/>
                <w:spacing w:val="-2"/>
                <w:sz w:val="24"/>
              </w:rPr>
              <w:t xml:space="preserve"> </w:t>
            </w:r>
            <w:r>
              <w:rPr>
                <w:b/>
                <w:sz w:val="24"/>
              </w:rPr>
              <w:t>General</w:t>
            </w:r>
            <w:r>
              <w:rPr>
                <w:b/>
                <w:spacing w:val="-3"/>
                <w:sz w:val="24"/>
              </w:rPr>
              <w:t xml:space="preserve"> </w:t>
            </w:r>
            <w:r>
              <w:rPr>
                <w:b/>
                <w:sz w:val="24"/>
              </w:rPr>
              <w:t>Operations</w:t>
            </w:r>
            <w:r>
              <w:rPr>
                <w:b/>
                <w:spacing w:val="-2"/>
                <w:sz w:val="24"/>
              </w:rPr>
              <w:t xml:space="preserve"> Staff:</w:t>
            </w:r>
          </w:p>
          <w:p w14:paraId="365A9795" w14:textId="77777777" w:rsidR="00E41A5B" w:rsidRDefault="00DA7B02">
            <w:pPr>
              <w:pStyle w:val="TableParagraph"/>
              <w:spacing w:line="274" w:lineRule="exact"/>
              <w:ind w:left="105"/>
              <w:rPr>
                <w:sz w:val="24"/>
              </w:rPr>
            </w:pPr>
            <w:r>
              <w:rPr>
                <w:sz w:val="24"/>
              </w:rPr>
              <w:t>Costs</w:t>
            </w:r>
            <w:r>
              <w:rPr>
                <w:spacing w:val="-1"/>
                <w:sz w:val="24"/>
              </w:rPr>
              <w:t xml:space="preserve"> </w:t>
            </w:r>
            <w:r>
              <w:rPr>
                <w:sz w:val="24"/>
              </w:rPr>
              <w:t>of</w:t>
            </w:r>
            <w:r>
              <w:rPr>
                <w:spacing w:val="-2"/>
                <w:sz w:val="24"/>
              </w:rPr>
              <w:t xml:space="preserve"> </w:t>
            </w:r>
            <w:r>
              <w:rPr>
                <w:sz w:val="24"/>
              </w:rPr>
              <w:t>the</w:t>
            </w:r>
            <w:r>
              <w:rPr>
                <w:spacing w:val="-2"/>
                <w:sz w:val="24"/>
              </w:rPr>
              <w:t xml:space="preserve"> </w:t>
            </w:r>
            <w:r>
              <w:rPr>
                <w:sz w:val="24"/>
              </w:rPr>
              <w:t>receptionist,</w:t>
            </w:r>
            <w:r>
              <w:rPr>
                <w:spacing w:val="-1"/>
                <w:sz w:val="24"/>
              </w:rPr>
              <w:t xml:space="preserve"> </w:t>
            </w:r>
            <w:r>
              <w:rPr>
                <w:sz w:val="24"/>
              </w:rPr>
              <w:t>staff</w:t>
            </w:r>
            <w:r>
              <w:rPr>
                <w:spacing w:val="-1"/>
                <w:sz w:val="24"/>
              </w:rPr>
              <w:t xml:space="preserve"> </w:t>
            </w:r>
            <w:r>
              <w:rPr>
                <w:sz w:val="24"/>
              </w:rPr>
              <w:t>of</w:t>
            </w:r>
            <w:r>
              <w:rPr>
                <w:spacing w:val="-2"/>
                <w:sz w:val="24"/>
              </w:rPr>
              <w:t xml:space="preserve"> </w:t>
            </w:r>
            <w:r>
              <w:rPr>
                <w:sz w:val="24"/>
              </w:rPr>
              <w:t>the</w:t>
            </w:r>
            <w:r>
              <w:rPr>
                <w:spacing w:val="-2"/>
                <w:sz w:val="24"/>
              </w:rPr>
              <w:t xml:space="preserve"> </w:t>
            </w:r>
            <w:r>
              <w:rPr>
                <w:sz w:val="24"/>
              </w:rPr>
              <w:t>resource</w:t>
            </w:r>
            <w:r>
              <w:rPr>
                <w:spacing w:val="-1"/>
                <w:sz w:val="24"/>
              </w:rPr>
              <w:t xml:space="preserve"> </w:t>
            </w:r>
            <w:r>
              <w:rPr>
                <w:spacing w:val="-2"/>
                <w:sz w:val="24"/>
              </w:rPr>
              <w:t>center.</w:t>
            </w:r>
          </w:p>
        </w:tc>
        <w:tc>
          <w:tcPr>
            <w:tcW w:w="5710" w:type="dxa"/>
          </w:tcPr>
          <w:p w14:paraId="365A9796" w14:textId="77777777" w:rsidR="00E41A5B" w:rsidRDefault="00DA7B02">
            <w:pPr>
              <w:pStyle w:val="TableParagraph"/>
              <w:spacing w:line="272" w:lineRule="exact"/>
              <w:rPr>
                <w:sz w:val="24"/>
              </w:rPr>
            </w:pPr>
            <w:r>
              <w:rPr>
                <w:sz w:val="24"/>
              </w:rPr>
              <w:t>Number</w:t>
            </w:r>
            <w:r>
              <w:rPr>
                <w:spacing w:val="-2"/>
                <w:sz w:val="24"/>
              </w:rPr>
              <w:t xml:space="preserve"> </w:t>
            </w:r>
            <w:r>
              <w:rPr>
                <w:sz w:val="24"/>
              </w:rPr>
              <w:t>of</w:t>
            </w:r>
            <w:r>
              <w:rPr>
                <w:spacing w:val="-2"/>
                <w:sz w:val="24"/>
              </w:rPr>
              <w:t xml:space="preserve"> </w:t>
            </w:r>
            <w:r>
              <w:rPr>
                <w:sz w:val="24"/>
              </w:rPr>
              <w:t>partner</w:t>
            </w:r>
            <w:r>
              <w:rPr>
                <w:spacing w:val="-2"/>
                <w:sz w:val="24"/>
              </w:rPr>
              <w:t xml:space="preserve"> </w:t>
            </w:r>
            <w:r>
              <w:rPr>
                <w:sz w:val="24"/>
              </w:rPr>
              <w:t xml:space="preserve">program </w:t>
            </w:r>
            <w:r>
              <w:rPr>
                <w:spacing w:val="-2"/>
                <w:sz w:val="24"/>
              </w:rPr>
              <w:t>participants.</w:t>
            </w:r>
          </w:p>
        </w:tc>
      </w:tr>
      <w:tr w:rsidR="00E41A5B" w14:paraId="365A979A" w14:textId="77777777">
        <w:trPr>
          <w:trHeight w:val="1139"/>
        </w:trPr>
        <w:tc>
          <w:tcPr>
            <w:tcW w:w="5849" w:type="dxa"/>
            <w:shd w:val="clear" w:color="auto" w:fill="C1C1C1"/>
          </w:tcPr>
          <w:p w14:paraId="365A9798" w14:textId="77777777" w:rsidR="00E41A5B" w:rsidRDefault="00DA7B02">
            <w:pPr>
              <w:pStyle w:val="TableParagraph"/>
              <w:ind w:left="105"/>
              <w:rPr>
                <w:sz w:val="24"/>
              </w:rPr>
            </w:pPr>
            <w:r>
              <w:rPr>
                <w:b/>
                <w:sz w:val="24"/>
              </w:rPr>
              <w:t>Shared</w:t>
            </w:r>
            <w:r>
              <w:rPr>
                <w:b/>
                <w:spacing w:val="-6"/>
                <w:sz w:val="24"/>
              </w:rPr>
              <w:t xml:space="preserve"> </w:t>
            </w:r>
            <w:r>
              <w:rPr>
                <w:b/>
                <w:sz w:val="24"/>
              </w:rPr>
              <w:t>Equipment</w:t>
            </w:r>
            <w:r>
              <w:rPr>
                <w:b/>
                <w:spacing w:val="-7"/>
                <w:sz w:val="24"/>
              </w:rPr>
              <w:t xml:space="preserve"> </w:t>
            </w:r>
            <w:r>
              <w:rPr>
                <w:b/>
                <w:sz w:val="24"/>
              </w:rPr>
              <w:t>and</w:t>
            </w:r>
            <w:r>
              <w:rPr>
                <w:b/>
                <w:spacing w:val="-6"/>
                <w:sz w:val="24"/>
              </w:rPr>
              <w:t xml:space="preserve"> </w:t>
            </w:r>
            <w:r>
              <w:rPr>
                <w:b/>
                <w:sz w:val="24"/>
              </w:rPr>
              <w:t>Supplies:</w:t>
            </w:r>
            <w:r>
              <w:rPr>
                <w:b/>
                <w:spacing w:val="-7"/>
                <w:sz w:val="24"/>
              </w:rPr>
              <w:t xml:space="preserve"> </w:t>
            </w:r>
            <w:r>
              <w:rPr>
                <w:sz w:val="24"/>
              </w:rPr>
              <w:t>Staff</w:t>
            </w:r>
            <w:r>
              <w:rPr>
                <w:spacing w:val="-7"/>
                <w:sz w:val="24"/>
              </w:rPr>
              <w:t xml:space="preserve"> </w:t>
            </w:r>
            <w:r>
              <w:rPr>
                <w:sz w:val="24"/>
              </w:rPr>
              <w:t>copier,</w:t>
            </w:r>
            <w:r>
              <w:rPr>
                <w:spacing w:val="-6"/>
                <w:sz w:val="24"/>
              </w:rPr>
              <w:t xml:space="preserve"> </w:t>
            </w:r>
            <w:r>
              <w:rPr>
                <w:sz w:val="24"/>
              </w:rPr>
              <w:t>fax, associated supplies, and furniture.</w:t>
            </w:r>
          </w:p>
        </w:tc>
        <w:tc>
          <w:tcPr>
            <w:tcW w:w="5710" w:type="dxa"/>
            <w:shd w:val="clear" w:color="auto" w:fill="C1C1C1"/>
          </w:tcPr>
          <w:p w14:paraId="365A9799" w14:textId="77777777" w:rsidR="00E41A5B" w:rsidRDefault="00DA7B02">
            <w:pPr>
              <w:pStyle w:val="TableParagraph"/>
              <w:rPr>
                <w:sz w:val="24"/>
              </w:rPr>
            </w:pPr>
            <w:r>
              <w:rPr>
                <w:sz w:val="24"/>
              </w:rPr>
              <w:t>Usage by staff of each partner program. Occupancy (square</w:t>
            </w:r>
            <w:r>
              <w:rPr>
                <w:spacing w:val="-6"/>
                <w:sz w:val="24"/>
              </w:rPr>
              <w:t xml:space="preserve"> </w:t>
            </w:r>
            <w:r>
              <w:rPr>
                <w:sz w:val="24"/>
              </w:rPr>
              <w:t>footage)</w:t>
            </w:r>
            <w:r>
              <w:rPr>
                <w:spacing w:val="-8"/>
                <w:sz w:val="24"/>
              </w:rPr>
              <w:t xml:space="preserve"> </w:t>
            </w:r>
            <w:r>
              <w:rPr>
                <w:sz w:val="24"/>
              </w:rPr>
              <w:t>basis;</w:t>
            </w:r>
            <w:r>
              <w:rPr>
                <w:spacing w:val="-7"/>
                <w:sz w:val="24"/>
              </w:rPr>
              <w:t xml:space="preserve"> </w:t>
            </w:r>
            <w:r>
              <w:rPr>
                <w:sz w:val="24"/>
              </w:rPr>
              <w:t>numbers</w:t>
            </w:r>
            <w:r>
              <w:rPr>
                <w:spacing w:val="-7"/>
                <w:sz w:val="24"/>
              </w:rPr>
              <w:t xml:space="preserve"> </w:t>
            </w:r>
            <w:r>
              <w:rPr>
                <w:sz w:val="24"/>
              </w:rPr>
              <w:t>of</w:t>
            </w:r>
            <w:r>
              <w:rPr>
                <w:spacing w:val="-8"/>
                <w:sz w:val="24"/>
              </w:rPr>
              <w:t xml:space="preserve"> </w:t>
            </w:r>
            <w:r>
              <w:rPr>
                <w:sz w:val="24"/>
              </w:rPr>
              <w:t>staff</w:t>
            </w:r>
            <w:r>
              <w:rPr>
                <w:spacing w:val="-6"/>
                <w:sz w:val="24"/>
              </w:rPr>
              <w:t xml:space="preserve"> </w:t>
            </w:r>
            <w:r>
              <w:rPr>
                <w:sz w:val="24"/>
              </w:rPr>
              <w:t>workstations.</w:t>
            </w:r>
          </w:p>
        </w:tc>
      </w:tr>
      <w:tr w:rsidR="00E41A5B" w14:paraId="365A979D" w14:textId="77777777">
        <w:trPr>
          <w:trHeight w:val="1141"/>
        </w:trPr>
        <w:tc>
          <w:tcPr>
            <w:tcW w:w="5849" w:type="dxa"/>
          </w:tcPr>
          <w:p w14:paraId="365A979B" w14:textId="77777777" w:rsidR="00E41A5B" w:rsidRDefault="00DA7B02">
            <w:pPr>
              <w:pStyle w:val="TableParagraph"/>
              <w:ind w:left="105"/>
              <w:rPr>
                <w:sz w:val="24"/>
              </w:rPr>
            </w:pPr>
            <w:r>
              <w:rPr>
                <w:b/>
                <w:sz w:val="24"/>
              </w:rPr>
              <w:t>Career</w:t>
            </w:r>
            <w:r>
              <w:rPr>
                <w:b/>
                <w:spacing w:val="-4"/>
                <w:sz w:val="24"/>
              </w:rPr>
              <w:t xml:space="preserve"> </w:t>
            </w:r>
            <w:r>
              <w:rPr>
                <w:b/>
                <w:sz w:val="24"/>
              </w:rPr>
              <w:t>Services:</w:t>
            </w:r>
            <w:r>
              <w:rPr>
                <w:b/>
                <w:spacing w:val="-2"/>
                <w:sz w:val="24"/>
              </w:rPr>
              <w:t xml:space="preserve"> </w:t>
            </w:r>
            <w:r>
              <w:rPr>
                <w:sz w:val="24"/>
              </w:rPr>
              <w:t>Staff</w:t>
            </w:r>
            <w:r>
              <w:rPr>
                <w:spacing w:val="-2"/>
                <w:sz w:val="24"/>
              </w:rPr>
              <w:t xml:space="preserve"> </w:t>
            </w:r>
            <w:r>
              <w:rPr>
                <w:sz w:val="24"/>
              </w:rPr>
              <w:t>and</w:t>
            </w:r>
            <w:r>
              <w:rPr>
                <w:spacing w:val="-4"/>
                <w:sz w:val="24"/>
              </w:rPr>
              <w:t xml:space="preserve"> </w:t>
            </w:r>
            <w:r>
              <w:rPr>
                <w:sz w:val="24"/>
              </w:rPr>
              <w:t>benefit</w:t>
            </w:r>
            <w:r>
              <w:rPr>
                <w:spacing w:val="-1"/>
                <w:sz w:val="24"/>
              </w:rPr>
              <w:t xml:space="preserve"> </w:t>
            </w:r>
            <w:r>
              <w:rPr>
                <w:sz w:val="24"/>
              </w:rPr>
              <w:t>costs,</w:t>
            </w:r>
            <w:r>
              <w:rPr>
                <w:spacing w:val="-4"/>
                <w:sz w:val="24"/>
              </w:rPr>
              <w:t xml:space="preserve"> </w:t>
            </w:r>
            <w:r>
              <w:rPr>
                <w:sz w:val="24"/>
              </w:rPr>
              <w:t>development</w:t>
            </w:r>
            <w:r>
              <w:rPr>
                <w:spacing w:val="-4"/>
                <w:sz w:val="24"/>
              </w:rPr>
              <w:t xml:space="preserve"> </w:t>
            </w:r>
            <w:r>
              <w:rPr>
                <w:sz w:val="24"/>
              </w:rPr>
              <w:t>of common forms for case management, and similar costs.</w:t>
            </w:r>
          </w:p>
        </w:tc>
        <w:tc>
          <w:tcPr>
            <w:tcW w:w="5710" w:type="dxa"/>
          </w:tcPr>
          <w:p w14:paraId="365A979C" w14:textId="77777777" w:rsidR="00E41A5B" w:rsidRDefault="00DA7B02">
            <w:pPr>
              <w:pStyle w:val="TableParagraph"/>
              <w:ind w:right="135"/>
              <w:jc w:val="both"/>
              <w:rPr>
                <w:sz w:val="24"/>
              </w:rPr>
            </w:pPr>
            <w:r>
              <w:rPr>
                <w:sz w:val="24"/>
              </w:rPr>
              <w:t>Time distribution system (time sheets, work sampling, time and motion</w:t>
            </w:r>
            <w:r>
              <w:rPr>
                <w:spacing w:val="-1"/>
                <w:sz w:val="24"/>
              </w:rPr>
              <w:t xml:space="preserve"> </w:t>
            </w:r>
            <w:r>
              <w:rPr>
                <w:sz w:val="24"/>
              </w:rPr>
              <w:t>studies); numbers of clients eligible for specific program; weighted participation numbers.</w:t>
            </w:r>
          </w:p>
        </w:tc>
      </w:tr>
    </w:tbl>
    <w:p w14:paraId="365A979E" w14:textId="77777777" w:rsidR="00E41A5B" w:rsidRDefault="00E41A5B">
      <w:pPr>
        <w:jc w:val="both"/>
        <w:rPr>
          <w:sz w:val="24"/>
        </w:rPr>
        <w:sectPr w:rsidR="00E41A5B">
          <w:pgSz w:w="12240" w:h="15840"/>
          <w:pgMar w:top="1360" w:right="80" w:bottom="1540" w:left="140" w:header="0" w:footer="1345" w:gutter="0"/>
          <w:cols w:space="720"/>
        </w:sectPr>
      </w:pPr>
    </w:p>
    <w:p w14:paraId="365A979F" w14:textId="77777777" w:rsidR="00E41A5B" w:rsidRDefault="00DA7B02">
      <w:pPr>
        <w:pStyle w:val="Heading1"/>
        <w:spacing w:before="22"/>
        <w:ind w:left="512"/>
        <w:rPr>
          <w:rFonts w:ascii="Calibri"/>
        </w:rPr>
      </w:pPr>
      <w:r>
        <w:rPr>
          <w:noProof/>
        </w:rPr>
        <w:lastRenderedPageBreak/>
        <mc:AlternateContent>
          <mc:Choice Requires="wpg">
            <w:drawing>
              <wp:anchor distT="0" distB="0" distL="0" distR="0" simplePos="0" relativeHeight="15729152" behindDoc="0" locked="0" layoutInCell="1" allowOverlap="1" wp14:anchorId="365A989A" wp14:editId="365A989B">
                <wp:simplePos x="0" y="0"/>
                <wp:positionH relativeFrom="page">
                  <wp:posOffset>5322573</wp:posOffset>
                </wp:positionH>
                <wp:positionV relativeFrom="paragraph">
                  <wp:posOffset>1203185</wp:posOffset>
                </wp:positionV>
                <wp:extent cx="466725" cy="100965"/>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6725" cy="100965"/>
                          <a:chOff x="0" y="0"/>
                          <a:chExt cx="466725" cy="100965"/>
                        </a:xfrm>
                      </wpg:grpSpPr>
                      <wps:wsp>
                        <wps:cNvPr id="4" name="Graphic 4"/>
                        <wps:cNvSpPr/>
                        <wps:spPr>
                          <a:xfrm>
                            <a:off x="4762" y="4762"/>
                            <a:ext cx="457200" cy="91440"/>
                          </a:xfrm>
                          <a:custGeom>
                            <a:avLst/>
                            <a:gdLst/>
                            <a:ahLst/>
                            <a:cxnLst/>
                            <a:rect l="l" t="t" r="r" b="b"/>
                            <a:pathLst>
                              <a:path w="457200" h="91440">
                                <a:moveTo>
                                  <a:pt x="457200" y="0"/>
                                </a:moveTo>
                                <a:lnTo>
                                  <a:pt x="0" y="0"/>
                                </a:lnTo>
                                <a:lnTo>
                                  <a:pt x="228600" y="91440"/>
                                </a:lnTo>
                                <a:lnTo>
                                  <a:pt x="457200" y="0"/>
                                </a:lnTo>
                                <a:close/>
                              </a:path>
                            </a:pathLst>
                          </a:custGeom>
                          <a:solidFill>
                            <a:srgbClr val="BFBFBF">
                              <a:alpha val="50195"/>
                            </a:srgbClr>
                          </a:solidFill>
                        </wps:spPr>
                        <wps:bodyPr wrap="square" lIns="0" tIns="0" rIns="0" bIns="0" rtlCol="0">
                          <a:prstTxWarp prst="textNoShape">
                            <a:avLst/>
                          </a:prstTxWarp>
                          <a:noAutofit/>
                        </wps:bodyPr>
                      </wps:wsp>
                      <wps:wsp>
                        <wps:cNvPr id="5" name="Graphic 5"/>
                        <wps:cNvSpPr/>
                        <wps:spPr>
                          <a:xfrm>
                            <a:off x="4762" y="4762"/>
                            <a:ext cx="457200" cy="91440"/>
                          </a:xfrm>
                          <a:custGeom>
                            <a:avLst/>
                            <a:gdLst/>
                            <a:ahLst/>
                            <a:cxnLst/>
                            <a:rect l="l" t="t" r="r" b="b"/>
                            <a:pathLst>
                              <a:path w="457200" h="91440">
                                <a:moveTo>
                                  <a:pt x="0" y="0"/>
                                </a:moveTo>
                                <a:lnTo>
                                  <a:pt x="228600" y="91440"/>
                                </a:lnTo>
                                <a:lnTo>
                                  <a:pt x="457200" y="0"/>
                                </a:lnTo>
                                <a:lnTo>
                                  <a:pt x="0" y="0"/>
                                </a:lnTo>
                                <a:close/>
                              </a:path>
                            </a:pathLst>
                          </a:custGeom>
                          <a:ln w="9525">
                            <a:solidFill>
                              <a:srgbClr val="DADADA"/>
                            </a:solidFill>
                            <a:prstDash val="solid"/>
                          </a:ln>
                        </wps:spPr>
                        <wps:bodyPr wrap="square" lIns="0" tIns="0" rIns="0" bIns="0" rtlCol="0">
                          <a:prstTxWarp prst="textNoShape">
                            <a:avLst/>
                          </a:prstTxWarp>
                          <a:noAutofit/>
                        </wps:bodyPr>
                      </wps:wsp>
                    </wpg:wgp>
                  </a:graphicData>
                </a:graphic>
              </wp:anchor>
            </w:drawing>
          </mc:Choice>
          <mc:Fallback>
            <w:pict>
              <v:group w14:anchorId="6B9A650C" id="Group 3" o:spid="_x0000_s1026" style="position:absolute;margin-left:419.1pt;margin-top:94.75pt;width:36.75pt;height:7.95pt;z-index:15729152;mso-wrap-distance-left:0;mso-wrap-distance-right:0;mso-position-horizontal-relative:page" coordsize="466725,100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">
                <v:shape id="Graphic 4" o:spid="_x0000_s1027" style="position:absolute;left:4762;top:4762;width:457200;height:91440;visibility:visible;mso-wrap-style:square;v-text-anchor:top" coordsize="457200,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" path="m457200,l,,228600,91440,457200,xe" fillcolor="#bfbfbf" stroked="f">
                  <v:fill opacity="32896f"/>
                  <v:path arrowok="t"/>
                </v:shape>
                <v:shape id="Graphic 5" o:spid="_x0000_s1028" style="position:absolute;left:4762;top:4762;width:457200;height:91440;visibility:visible;mso-wrap-style:square;v-text-anchor:top" coordsize="457200,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" path="m,l228600,91440,457200,,,xe" filled="f" strokecolor="#dadada">
                  <v:path arrowok="t"/>
                </v:shape>
                <w10:wrap anchorx="page"/>
              </v:group>
            </w:pict>
          </mc:Fallback>
        </mc:AlternateContent>
      </w:r>
      <w:r>
        <w:rPr>
          <w:rFonts w:ascii="Calibri"/>
        </w:rPr>
        <w:t>Attachment</w:t>
      </w:r>
      <w:r>
        <w:rPr>
          <w:rFonts w:ascii="Calibri"/>
          <w:spacing w:val="-5"/>
        </w:rPr>
        <w:t xml:space="preserve"> </w:t>
      </w:r>
      <w:r>
        <w:rPr>
          <w:rFonts w:ascii="Calibri"/>
        </w:rPr>
        <w:t>II:</w:t>
      </w:r>
      <w:r>
        <w:rPr>
          <w:rFonts w:ascii="Calibri"/>
          <w:spacing w:val="55"/>
        </w:rPr>
        <w:t xml:space="preserve"> </w:t>
      </w:r>
      <w:r>
        <w:rPr>
          <w:rFonts w:ascii="Calibri"/>
        </w:rPr>
        <w:t>Paying</w:t>
      </w:r>
      <w:r>
        <w:rPr>
          <w:rFonts w:ascii="Calibri"/>
          <w:spacing w:val="-6"/>
        </w:rPr>
        <w:t xml:space="preserve"> </w:t>
      </w:r>
      <w:r>
        <w:rPr>
          <w:rFonts w:ascii="Calibri"/>
        </w:rPr>
        <w:t>for</w:t>
      </w:r>
      <w:r>
        <w:rPr>
          <w:rFonts w:ascii="Calibri"/>
          <w:spacing w:val="-3"/>
        </w:rPr>
        <w:t xml:space="preserve"> </w:t>
      </w:r>
      <w:r>
        <w:rPr>
          <w:rFonts w:ascii="Calibri"/>
        </w:rPr>
        <w:t>the</w:t>
      </w:r>
      <w:r>
        <w:rPr>
          <w:rFonts w:ascii="Calibri"/>
          <w:spacing w:val="-3"/>
        </w:rPr>
        <w:t xml:space="preserve"> </w:t>
      </w:r>
      <w:r>
        <w:rPr>
          <w:rFonts w:ascii="Calibri"/>
        </w:rPr>
        <w:t>One-Stop</w:t>
      </w:r>
      <w:r>
        <w:rPr>
          <w:rFonts w:ascii="Calibri"/>
          <w:spacing w:val="-4"/>
        </w:rPr>
        <w:t xml:space="preserve"> </w:t>
      </w:r>
      <w:r>
        <w:rPr>
          <w:rFonts w:ascii="Calibri"/>
        </w:rPr>
        <w:t>Delivery</w:t>
      </w:r>
      <w:r>
        <w:rPr>
          <w:rFonts w:ascii="Calibri"/>
          <w:spacing w:val="-4"/>
        </w:rPr>
        <w:t xml:space="preserve"> </w:t>
      </w:r>
      <w:r>
        <w:rPr>
          <w:rFonts w:ascii="Calibri"/>
          <w:spacing w:val="-2"/>
        </w:rPr>
        <w:t>System</w:t>
      </w:r>
    </w:p>
    <w:p w14:paraId="365A97A0" w14:textId="77777777" w:rsidR="00E41A5B" w:rsidRDefault="00E41A5B">
      <w:pPr>
        <w:pStyle w:val="BodyText"/>
        <w:spacing w:before="4" w:after="1"/>
        <w:jc w:val="left"/>
        <w:rPr>
          <w:rFonts w:ascii="Calibri"/>
          <w:b/>
          <w:sz w:val="20"/>
        </w:rPr>
      </w:pPr>
    </w:p>
    <w:tbl>
      <w:tblPr>
        <w:tblW w:w="0" w:type="auto"/>
        <w:tblInd w:w="40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Layout w:type="fixed"/>
        <w:tblCellMar>
          <w:left w:w="0" w:type="dxa"/>
          <w:right w:w="0" w:type="dxa"/>
        </w:tblCellMar>
        <w:tblLook w:val="01E0" w:firstRow="1" w:lastRow="1" w:firstColumn="1" w:lastColumn="1" w:noHBand="0" w:noVBand="0"/>
      </w:tblPr>
      <w:tblGrid>
        <w:gridCol w:w="4415"/>
        <w:gridCol w:w="6375"/>
      </w:tblGrid>
      <w:tr w:rsidR="00E41A5B" w14:paraId="365A97A4" w14:textId="77777777">
        <w:trPr>
          <w:trHeight w:val="497"/>
        </w:trPr>
        <w:tc>
          <w:tcPr>
            <w:tcW w:w="4415" w:type="dxa"/>
            <w:tcBorders>
              <w:bottom w:val="double" w:sz="2" w:space="0" w:color="DADADA"/>
              <w:right w:val="nil"/>
            </w:tcBorders>
            <w:shd w:val="clear" w:color="auto" w:fill="BFBFBF"/>
          </w:tcPr>
          <w:p w14:paraId="365A97A1" w14:textId="77777777" w:rsidR="00E41A5B" w:rsidRDefault="00DA7B02">
            <w:pPr>
              <w:pStyle w:val="TableParagraph"/>
              <w:spacing w:before="123"/>
              <w:rPr>
                <w:b/>
              </w:rPr>
            </w:pPr>
            <w:r>
              <w:rPr>
                <w:b/>
              </w:rPr>
              <w:t>GOVERNOR</w:t>
            </w:r>
            <w:r>
              <w:rPr>
                <w:b/>
                <w:spacing w:val="-8"/>
              </w:rPr>
              <w:t xml:space="preserve"> </w:t>
            </w:r>
            <w:r>
              <w:rPr>
                <w:b/>
                <w:spacing w:val="-2"/>
              </w:rPr>
              <w:t>GUIDANCE</w:t>
            </w:r>
          </w:p>
        </w:tc>
        <w:tc>
          <w:tcPr>
            <w:tcW w:w="6375" w:type="dxa"/>
            <w:tcBorders>
              <w:left w:val="nil"/>
              <w:bottom w:val="double" w:sz="2" w:space="0" w:color="DADADA"/>
            </w:tcBorders>
            <w:shd w:val="clear" w:color="auto" w:fill="BFBFBF"/>
          </w:tcPr>
          <w:p w14:paraId="365A97A2" w14:textId="77777777" w:rsidR="00E41A5B" w:rsidRDefault="00DA7B02">
            <w:pPr>
              <w:pStyle w:val="TableParagraph"/>
              <w:spacing w:line="244" w:lineRule="exact"/>
              <w:ind w:left="0" w:right="93"/>
              <w:jc w:val="right"/>
              <w:rPr>
                <w:i/>
              </w:rPr>
            </w:pPr>
            <w:r>
              <w:rPr>
                <w:i/>
              </w:rPr>
              <w:t>WIOA</w:t>
            </w:r>
            <w:r>
              <w:rPr>
                <w:i/>
                <w:spacing w:val="-6"/>
              </w:rPr>
              <w:t xml:space="preserve"> </w:t>
            </w:r>
            <w:r>
              <w:rPr>
                <w:i/>
              </w:rPr>
              <w:t>sec.</w:t>
            </w:r>
            <w:r>
              <w:rPr>
                <w:i/>
                <w:spacing w:val="-2"/>
              </w:rPr>
              <w:t xml:space="preserve"> </w:t>
            </w:r>
            <w:r>
              <w:rPr>
                <w:i/>
              </w:rPr>
              <w:t>121(h)(1)(B);</w:t>
            </w:r>
            <w:r>
              <w:rPr>
                <w:i/>
                <w:spacing w:val="-2"/>
              </w:rPr>
              <w:t xml:space="preserve"> </w:t>
            </w:r>
            <w:r>
              <w:rPr>
                <w:i/>
              </w:rPr>
              <w:t>20</w:t>
            </w:r>
            <w:r>
              <w:rPr>
                <w:i/>
                <w:spacing w:val="-2"/>
              </w:rPr>
              <w:t xml:space="preserve"> </w:t>
            </w:r>
            <w:r>
              <w:rPr>
                <w:i/>
              </w:rPr>
              <w:t>CFR</w:t>
            </w:r>
            <w:r>
              <w:rPr>
                <w:i/>
                <w:spacing w:val="-4"/>
              </w:rPr>
              <w:t xml:space="preserve"> </w:t>
            </w:r>
            <w:r>
              <w:rPr>
                <w:i/>
              </w:rPr>
              <w:t>678.705,</w:t>
            </w:r>
            <w:r>
              <w:rPr>
                <w:i/>
                <w:spacing w:val="-5"/>
              </w:rPr>
              <w:t xml:space="preserve"> </w:t>
            </w:r>
            <w:r>
              <w:rPr>
                <w:i/>
              </w:rPr>
              <w:t>34</w:t>
            </w:r>
            <w:r>
              <w:rPr>
                <w:i/>
                <w:spacing w:val="-2"/>
              </w:rPr>
              <w:t xml:space="preserve"> </w:t>
            </w:r>
            <w:r>
              <w:rPr>
                <w:i/>
                <w:spacing w:val="-5"/>
              </w:rPr>
              <w:t>CFR</w:t>
            </w:r>
          </w:p>
          <w:p w14:paraId="365A97A3" w14:textId="77777777" w:rsidR="00E41A5B" w:rsidRDefault="00DA7B02">
            <w:pPr>
              <w:pStyle w:val="TableParagraph"/>
              <w:spacing w:line="234" w:lineRule="exact"/>
              <w:ind w:left="0" w:right="95"/>
              <w:jc w:val="right"/>
              <w:rPr>
                <w:i/>
              </w:rPr>
            </w:pPr>
            <w:r>
              <w:rPr>
                <w:i/>
              </w:rPr>
              <w:t>361.705,</w:t>
            </w:r>
            <w:r>
              <w:rPr>
                <w:i/>
                <w:spacing w:val="-2"/>
              </w:rPr>
              <w:t xml:space="preserve"> </w:t>
            </w:r>
            <w:r>
              <w:rPr>
                <w:i/>
              </w:rPr>
              <w:t>34</w:t>
            </w:r>
            <w:r>
              <w:rPr>
                <w:i/>
                <w:spacing w:val="-2"/>
              </w:rPr>
              <w:t xml:space="preserve"> </w:t>
            </w:r>
            <w:r>
              <w:rPr>
                <w:i/>
              </w:rPr>
              <w:t>CFR</w:t>
            </w:r>
            <w:r>
              <w:rPr>
                <w:i/>
                <w:spacing w:val="-2"/>
              </w:rPr>
              <w:t xml:space="preserve"> 463.705</w:t>
            </w:r>
          </w:p>
        </w:tc>
      </w:tr>
      <w:tr w:rsidR="00E41A5B" w14:paraId="365A97A6" w14:textId="77777777">
        <w:trPr>
          <w:trHeight w:val="769"/>
        </w:trPr>
        <w:tc>
          <w:tcPr>
            <w:tcW w:w="10790" w:type="dxa"/>
            <w:gridSpan w:val="2"/>
            <w:tcBorders>
              <w:top w:val="double" w:sz="2" w:space="0" w:color="DADADA"/>
              <w:bottom w:val="double" w:sz="2" w:space="0" w:color="DADADA"/>
            </w:tcBorders>
          </w:tcPr>
          <w:p w14:paraId="365A97A5" w14:textId="77777777" w:rsidR="00E41A5B" w:rsidRDefault="00DA7B02">
            <w:pPr>
              <w:pStyle w:val="TableParagraph"/>
              <w:spacing w:line="254" w:lineRule="exact"/>
              <w:ind w:left="76" w:right="160"/>
            </w:pPr>
            <w:r>
              <w:t>Governors must issue guidance regarding the infrastructure funding of a one-stop delivery system after consultation with</w:t>
            </w:r>
            <w:r>
              <w:rPr>
                <w:spacing w:val="-2"/>
              </w:rPr>
              <w:t xml:space="preserve"> </w:t>
            </w:r>
            <w:r>
              <w:t>chief</w:t>
            </w:r>
            <w:r>
              <w:rPr>
                <w:spacing w:val="-1"/>
              </w:rPr>
              <w:t xml:space="preserve"> </w:t>
            </w:r>
            <w:r>
              <w:t>elected</w:t>
            </w:r>
            <w:r>
              <w:rPr>
                <w:spacing w:val="-5"/>
              </w:rPr>
              <w:t xml:space="preserve"> </w:t>
            </w:r>
            <w:r>
              <w:t>officials</w:t>
            </w:r>
            <w:r>
              <w:rPr>
                <w:spacing w:val="-4"/>
              </w:rPr>
              <w:t xml:space="preserve"> </w:t>
            </w:r>
            <w:r>
              <w:t>(CEO),</w:t>
            </w:r>
            <w:r>
              <w:rPr>
                <w:spacing w:val="-2"/>
              </w:rPr>
              <w:t xml:space="preserve"> </w:t>
            </w:r>
            <w:r>
              <w:t>the</w:t>
            </w:r>
            <w:r>
              <w:rPr>
                <w:spacing w:val="-2"/>
              </w:rPr>
              <w:t xml:space="preserve"> </w:t>
            </w:r>
            <w:r>
              <w:t>State</w:t>
            </w:r>
            <w:r>
              <w:rPr>
                <w:spacing w:val="-2"/>
              </w:rPr>
              <w:t xml:space="preserve"> </w:t>
            </w:r>
            <w:r>
              <w:t>workforce</w:t>
            </w:r>
            <w:r>
              <w:rPr>
                <w:spacing w:val="-4"/>
              </w:rPr>
              <w:t xml:space="preserve"> </w:t>
            </w:r>
            <w:r>
              <w:t>development</w:t>
            </w:r>
            <w:r>
              <w:rPr>
                <w:spacing w:val="-1"/>
              </w:rPr>
              <w:t xml:space="preserve"> </w:t>
            </w:r>
            <w:r>
              <w:t>board</w:t>
            </w:r>
            <w:r>
              <w:rPr>
                <w:spacing w:val="-2"/>
              </w:rPr>
              <w:t xml:space="preserve"> </w:t>
            </w:r>
            <w:r>
              <w:t>(WDB),</w:t>
            </w:r>
            <w:r>
              <w:rPr>
                <w:spacing w:val="-2"/>
              </w:rPr>
              <w:t xml:space="preserve"> </w:t>
            </w:r>
            <w:r>
              <w:t>and</w:t>
            </w:r>
            <w:r>
              <w:rPr>
                <w:spacing w:val="-2"/>
              </w:rPr>
              <w:t xml:space="preserve"> </w:t>
            </w:r>
            <w:r>
              <w:t>LWDBs.</w:t>
            </w:r>
            <w:r>
              <w:rPr>
                <w:spacing w:val="-5"/>
              </w:rPr>
              <w:t xml:space="preserve"> </w:t>
            </w:r>
            <w:r>
              <w:t>The</w:t>
            </w:r>
            <w:r>
              <w:rPr>
                <w:spacing w:val="-3"/>
              </w:rPr>
              <w:t xml:space="preserve"> </w:t>
            </w:r>
            <w:r>
              <w:t>guidance</w:t>
            </w:r>
            <w:r>
              <w:rPr>
                <w:spacing w:val="-2"/>
              </w:rPr>
              <w:t xml:space="preserve"> </w:t>
            </w:r>
            <w:r>
              <w:t>must</w:t>
            </w:r>
            <w:r>
              <w:rPr>
                <w:spacing w:val="-1"/>
              </w:rPr>
              <w:t xml:space="preserve"> </w:t>
            </w:r>
            <w:r>
              <w:t>be consistent with guidance and policies provided by the GWDB.</w:t>
            </w:r>
          </w:p>
        </w:tc>
      </w:tr>
    </w:tbl>
    <w:p w14:paraId="365A97A7" w14:textId="77777777" w:rsidR="00E41A5B" w:rsidRDefault="00E41A5B">
      <w:pPr>
        <w:pStyle w:val="BodyText"/>
        <w:spacing w:before="9"/>
        <w:jc w:val="left"/>
        <w:rPr>
          <w:rFonts w:ascii="Calibri"/>
          <w:b/>
          <w:sz w:val="12"/>
        </w:rPr>
      </w:pPr>
    </w:p>
    <w:tbl>
      <w:tblPr>
        <w:tblW w:w="0" w:type="auto"/>
        <w:tblInd w:w="402"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Layout w:type="fixed"/>
        <w:tblCellMar>
          <w:left w:w="0" w:type="dxa"/>
          <w:right w:w="0" w:type="dxa"/>
        </w:tblCellMar>
        <w:tblLook w:val="01E0" w:firstRow="1" w:lastRow="1" w:firstColumn="1" w:lastColumn="1" w:noHBand="0" w:noVBand="0"/>
      </w:tblPr>
      <w:tblGrid>
        <w:gridCol w:w="5110"/>
        <w:gridCol w:w="5681"/>
      </w:tblGrid>
      <w:tr w:rsidR="00E41A5B" w14:paraId="365A97AB" w14:textId="77777777">
        <w:trPr>
          <w:trHeight w:val="495"/>
        </w:trPr>
        <w:tc>
          <w:tcPr>
            <w:tcW w:w="5110" w:type="dxa"/>
            <w:tcBorders>
              <w:bottom w:val="double" w:sz="2" w:space="0" w:color="DADADA"/>
              <w:right w:val="nil"/>
            </w:tcBorders>
            <w:shd w:val="clear" w:color="auto" w:fill="BFBFBF"/>
          </w:tcPr>
          <w:p w14:paraId="365A97A8" w14:textId="77777777" w:rsidR="00E41A5B" w:rsidRDefault="00DA7B02">
            <w:pPr>
              <w:pStyle w:val="TableParagraph"/>
              <w:spacing w:before="123"/>
              <w:rPr>
                <w:b/>
              </w:rPr>
            </w:pPr>
            <w:r>
              <w:rPr>
                <w:b/>
              </w:rPr>
              <w:t>LOCAL</w:t>
            </w:r>
            <w:r>
              <w:rPr>
                <w:b/>
                <w:spacing w:val="-8"/>
              </w:rPr>
              <w:t xml:space="preserve"> </w:t>
            </w:r>
            <w:r>
              <w:rPr>
                <w:b/>
              </w:rPr>
              <w:t>DELIVERY</w:t>
            </w:r>
            <w:r>
              <w:rPr>
                <w:b/>
                <w:spacing w:val="-5"/>
              </w:rPr>
              <w:t xml:space="preserve"> </w:t>
            </w:r>
            <w:r>
              <w:rPr>
                <w:b/>
                <w:spacing w:val="-2"/>
              </w:rPr>
              <w:t>SYSTEM</w:t>
            </w:r>
          </w:p>
        </w:tc>
        <w:tc>
          <w:tcPr>
            <w:tcW w:w="5681" w:type="dxa"/>
            <w:tcBorders>
              <w:left w:val="nil"/>
              <w:bottom w:val="double" w:sz="2" w:space="0" w:color="DADADA"/>
            </w:tcBorders>
            <w:shd w:val="clear" w:color="auto" w:fill="BFBFBF"/>
          </w:tcPr>
          <w:p w14:paraId="365A97A9" w14:textId="77777777" w:rsidR="00E41A5B" w:rsidRDefault="00DA7B02">
            <w:pPr>
              <w:pStyle w:val="TableParagraph"/>
              <w:spacing w:line="244" w:lineRule="exact"/>
              <w:ind w:left="0" w:right="92"/>
              <w:jc w:val="right"/>
              <w:rPr>
                <w:i/>
              </w:rPr>
            </w:pPr>
            <w:r>
              <w:rPr>
                <w:i/>
              </w:rPr>
              <w:t>WIOA</w:t>
            </w:r>
            <w:r>
              <w:rPr>
                <w:i/>
                <w:spacing w:val="-5"/>
              </w:rPr>
              <w:t xml:space="preserve"> </w:t>
            </w:r>
            <w:r>
              <w:rPr>
                <w:i/>
              </w:rPr>
              <w:t>sec.</w:t>
            </w:r>
            <w:r>
              <w:rPr>
                <w:i/>
                <w:spacing w:val="-2"/>
              </w:rPr>
              <w:t xml:space="preserve"> </w:t>
            </w:r>
            <w:r>
              <w:rPr>
                <w:i/>
              </w:rPr>
              <w:t>121;</w:t>
            </w:r>
            <w:r>
              <w:rPr>
                <w:i/>
                <w:spacing w:val="-1"/>
              </w:rPr>
              <w:t xml:space="preserve"> </w:t>
            </w:r>
            <w:r>
              <w:rPr>
                <w:i/>
              </w:rPr>
              <w:t>20</w:t>
            </w:r>
            <w:r>
              <w:rPr>
                <w:i/>
                <w:spacing w:val="-5"/>
              </w:rPr>
              <w:t xml:space="preserve"> </w:t>
            </w:r>
            <w:r>
              <w:rPr>
                <w:i/>
              </w:rPr>
              <w:t>CFR</w:t>
            </w:r>
            <w:r>
              <w:rPr>
                <w:i/>
                <w:spacing w:val="-2"/>
              </w:rPr>
              <w:t xml:space="preserve"> </w:t>
            </w:r>
            <w:r>
              <w:rPr>
                <w:i/>
              </w:rPr>
              <w:t>678.300,</w:t>
            </w:r>
            <w:r>
              <w:rPr>
                <w:i/>
                <w:spacing w:val="-2"/>
              </w:rPr>
              <w:t xml:space="preserve"> </w:t>
            </w:r>
            <w:r>
              <w:rPr>
                <w:i/>
              </w:rPr>
              <w:t>34</w:t>
            </w:r>
            <w:r>
              <w:rPr>
                <w:i/>
                <w:spacing w:val="-2"/>
              </w:rPr>
              <w:t xml:space="preserve"> </w:t>
            </w:r>
            <w:r>
              <w:rPr>
                <w:i/>
              </w:rPr>
              <w:t>CFR</w:t>
            </w:r>
            <w:r>
              <w:rPr>
                <w:i/>
                <w:spacing w:val="-3"/>
              </w:rPr>
              <w:t xml:space="preserve"> </w:t>
            </w:r>
            <w:r>
              <w:rPr>
                <w:i/>
              </w:rPr>
              <w:t>361.300,</w:t>
            </w:r>
            <w:r>
              <w:rPr>
                <w:i/>
                <w:spacing w:val="-4"/>
              </w:rPr>
              <w:t xml:space="preserve"> </w:t>
            </w:r>
            <w:r>
              <w:rPr>
                <w:i/>
                <w:spacing w:val="-5"/>
              </w:rPr>
              <w:t>34</w:t>
            </w:r>
          </w:p>
          <w:p w14:paraId="365A97AA" w14:textId="77777777" w:rsidR="00E41A5B" w:rsidRDefault="00DA7B02">
            <w:pPr>
              <w:pStyle w:val="TableParagraph"/>
              <w:spacing w:line="231" w:lineRule="exact"/>
              <w:ind w:left="0" w:right="92"/>
              <w:jc w:val="right"/>
              <w:rPr>
                <w:i/>
              </w:rPr>
            </w:pPr>
            <w:r>
              <w:rPr>
                <w:i/>
              </w:rPr>
              <w:t>CFR</w:t>
            </w:r>
            <w:r>
              <w:rPr>
                <w:i/>
                <w:spacing w:val="-5"/>
              </w:rPr>
              <w:t xml:space="preserve"> </w:t>
            </w:r>
            <w:r>
              <w:rPr>
                <w:i/>
                <w:spacing w:val="-2"/>
              </w:rPr>
              <w:t>463.300</w:t>
            </w:r>
          </w:p>
        </w:tc>
      </w:tr>
      <w:tr w:rsidR="00E41A5B" w14:paraId="365A97B1" w14:textId="77777777">
        <w:trPr>
          <w:trHeight w:val="2016"/>
        </w:trPr>
        <w:tc>
          <w:tcPr>
            <w:tcW w:w="10791" w:type="dxa"/>
            <w:gridSpan w:val="2"/>
            <w:tcBorders>
              <w:top w:val="double" w:sz="2" w:space="0" w:color="DADADA"/>
            </w:tcBorders>
          </w:tcPr>
          <w:p w14:paraId="365A97AC" w14:textId="77777777" w:rsidR="00E41A5B" w:rsidRDefault="00DA7B02">
            <w:pPr>
              <w:pStyle w:val="TableParagraph"/>
              <w:numPr>
                <w:ilvl w:val="0"/>
                <w:numId w:val="15"/>
              </w:numPr>
              <w:tabs>
                <w:tab w:val="left" w:pos="255"/>
              </w:tabs>
              <w:spacing w:before="246" w:line="252" w:lineRule="exact"/>
              <w:ind w:left="255" w:hanging="179"/>
            </w:pPr>
            <w:r>
              <w:t>The</w:t>
            </w:r>
            <w:r>
              <w:rPr>
                <w:spacing w:val="-6"/>
              </w:rPr>
              <w:t xml:space="preserve"> </w:t>
            </w:r>
            <w:r>
              <w:t>LWDB</w:t>
            </w:r>
            <w:r>
              <w:rPr>
                <w:spacing w:val="-3"/>
              </w:rPr>
              <w:t xml:space="preserve"> </w:t>
            </w:r>
            <w:r>
              <w:t>and</w:t>
            </w:r>
            <w:r>
              <w:rPr>
                <w:spacing w:val="-2"/>
              </w:rPr>
              <w:t xml:space="preserve"> </w:t>
            </w:r>
            <w:r>
              <w:t>CEO(s)</w:t>
            </w:r>
            <w:r>
              <w:rPr>
                <w:spacing w:val="-4"/>
              </w:rPr>
              <w:t xml:space="preserve"> </w:t>
            </w:r>
            <w:r>
              <w:t>finalize</w:t>
            </w:r>
            <w:r>
              <w:rPr>
                <w:spacing w:val="-5"/>
              </w:rPr>
              <w:t xml:space="preserve"> </w:t>
            </w:r>
            <w:r>
              <w:t>the</w:t>
            </w:r>
            <w:r>
              <w:rPr>
                <w:spacing w:val="-4"/>
              </w:rPr>
              <w:t xml:space="preserve"> </w:t>
            </w:r>
            <w:r>
              <w:t>list</w:t>
            </w:r>
            <w:r>
              <w:rPr>
                <w:spacing w:val="-1"/>
              </w:rPr>
              <w:t xml:space="preserve"> </w:t>
            </w:r>
            <w:r>
              <w:t>of</w:t>
            </w:r>
            <w:r>
              <w:rPr>
                <w:spacing w:val="-1"/>
              </w:rPr>
              <w:t xml:space="preserve"> </w:t>
            </w:r>
            <w:r>
              <w:t>one-stop</w:t>
            </w:r>
            <w:r>
              <w:rPr>
                <w:spacing w:val="-3"/>
              </w:rPr>
              <w:t xml:space="preserve"> </w:t>
            </w:r>
            <w:r>
              <w:t>delivery</w:t>
            </w:r>
            <w:r>
              <w:rPr>
                <w:spacing w:val="-5"/>
              </w:rPr>
              <w:t xml:space="preserve"> </w:t>
            </w:r>
            <w:r>
              <w:t>system</w:t>
            </w:r>
            <w:r>
              <w:rPr>
                <w:spacing w:val="-6"/>
              </w:rPr>
              <w:t xml:space="preserve"> </w:t>
            </w:r>
            <w:r>
              <w:t>partners</w:t>
            </w:r>
            <w:r>
              <w:rPr>
                <w:spacing w:val="-4"/>
              </w:rPr>
              <w:t xml:space="preserve"> </w:t>
            </w:r>
            <w:r>
              <w:t>in</w:t>
            </w:r>
            <w:r>
              <w:rPr>
                <w:spacing w:val="-2"/>
              </w:rPr>
              <w:t xml:space="preserve"> </w:t>
            </w:r>
            <w:r>
              <w:t>a</w:t>
            </w:r>
            <w:r>
              <w:rPr>
                <w:spacing w:val="-4"/>
              </w:rPr>
              <w:t xml:space="preserve"> </w:t>
            </w:r>
            <w:r>
              <w:t>local</w:t>
            </w:r>
            <w:r>
              <w:rPr>
                <w:spacing w:val="-26"/>
              </w:rPr>
              <w:t xml:space="preserve"> </w:t>
            </w:r>
            <w:r>
              <w:rPr>
                <w:spacing w:val="-4"/>
              </w:rPr>
              <w:t>area</w:t>
            </w:r>
          </w:p>
          <w:p w14:paraId="365A97AD" w14:textId="77777777" w:rsidR="00E41A5B" w:rsidRDefault="00DA7B02">
            <w:pPr>
              <w:pStyle w:val="TableParagraph"/>
              <w:numPr>
                <w:ilvl w:val="0"/>
                <w:numId w:val="15"/>
              </w:numPr>
              <w:tabs>
                <w:tab w:val="left" w:pos="255"/>
              </w:tabs>
              <w:spacing w:line="252" w:lineRule="exact"/>
              <w:ind w:left="255" w:hanging="179"/>
            </w:pPr>
            <w:r>
              <w:t>The</w:t>
            </w:r>
            <w:r>
              <w:rPr>
                <w:spacing w:val="-6"/>
              </w:rPr>
              <w:t xml:space="preserve"> </w:t>
            </w:r>
            <w:r>
              <w:t>LWDB,</w:t>
            </w:r>
            <w:r>
              <w:rPr>
                <w:spacing w:val="-3"/>
              </w:rPr>
              <w:t xml:space="preserve"> </w:t>
            </w:r>
            <w:r>
              <w:t>CEO(s),</w:t>
            </w:r>
            <w:r>
              <w:rPr>
                <w:spacing w:val="-3"/>
              </w:rPr>
              <w:t xml:space="preserve"> </w:t>
            </w:r>
            <w:r>
              <w:t>and</w:t>
            </w:r>
            <w:r>
              <w:rPr>
                <w:spacing w:val="-9"/>
              </w:rPr>
              <w:t xml:space="preserve"> </w:t>
            </w:r>
            <w:r>
              <w:rPr>
                <w:spacing w:val="-2"/>
              </w:rPr>
              <w:t>partners:</w:t>
            </w:r>
          </w:p>
          <w:p w14:paraId="365A97AE" w14:textId="77777777" w:rsidR="00E41A5B" w:rsidRDefault="00DA7B02">
            <w:pPr>
              <w:pStyle w:val="TableParagraph"/>
              <w:numPr>
                <w:ilvl w:val="1"/>
                <w:numId w:val="15"/>
              </w:numPr>
              <w:tabs>
                <w:tab w:val="left" w:pos="647"/>
              </w:tabs>
              <w:ind w:right="1103"/>
            </w:pPr>
            <w:r>
              <w:t>Identify</w:t>
            </w:r>
            <w:r>
              <w:rPr>
                <w:spacing w:val="-5"/>
              </w:rPr>
              <w:t xml:space="preserve"> </w:t>
            </w:r>
            <w:r>
              <w:t>one-stop</w:t>
            </w:r>
            <w:r>
              <w:rPr>
                <w:spacing w:val="-2"/>
              </w:rPr>
              <w:t xml:space="preserve"> </w:t>
            </w:r>
            <w:r>
              <w:t>delivery</w:t>
            </w:r>
            <w:r>
              <w:rPr>
                <w:spacing w:val="-5"/>
              </w:rPr>
              <w:t xml:space="preserve"> </w:t>
            </w:r>
            <w:r>
              <w:t>system</w:t>
            </w:r>
            <w:r>
              <w:rPr>
                <w:spacing w:val="-6"/>
              </w:rPr>
              <w:t xml:space="preserve"> </w:t>
            </w:r>
            <w:r>
              <w:t>locations</w:t>
            </w:r>
            <w:r>
              <w:rPr>
                <w:spacing w:val="-4"/>
              </w:rPr>
              <w:t xml:space="preserve"> </w:t>
            </w:r>
            <w:r>
              <w:t>and</w:t>
            </w:r>
            <w:r>
              <w:rPr>
                <w:spacing w:val="-2"/>
              </w:rPr>
              <w:t xml:space="preserve"> </w:t>
            </w:r>
            <w:r>
              <w:t>determine</w:t>
            </w:r>
            <w:r>
              <w:rPr>
                <w:spacing w:val="-4"/>
              </w:rPr>
              <w:t xml:space="preserve"> </w:t>
            </w:r>
            <w:r>
              <w:t>types</w:t>
            </w:r>
            <w:r>
              <w:rPr>
                <w:spacing w:val="-2"/>
              </w:rPr>
              <w:t xml:space="preserve"> </w:t>
            </w:r>
            <w:r>
              <w:t>of</w:t>
            </w:r>
            <w:r>
              <w:rPr>
                <w:spacing w:val="-4"/>
              </w:rPr>
              <w:t xml:space="preserve"> </w:t>
            </w:r>
            <w:r>
              <w:t>locations</w:t>
            </w:r>
            <w:r>
              <w:rPr>
                <w:spacing w:val="-4"/>
              </w:rPr>
              <w:t xml:space="preserve"> </w:t>
            </w:r>
            <w:r>
              <w:t>(comprehensive,</w:t>
            </w:r>
            <w:r>
              <w:rPr>
                <w:spacing w:val="-2"/>
              </w:rPr>
              <w:t xml:space="preserve"> </w:t>
            </w:r>
            <w:r>
              <w:t>affiliate, specialized one-stop centers, etc.),</w:t>
            </w:r>
          </w:p>
          <w:p w14:paraId="365A97AF" w14:textId="77777777" w:rsidR="00E41A5B" w:rsidRDefault="00DA7B02">
            <w:pPr>
              <w:pStyle w:val="TableParagraph"/>
              <w:numPr>
                <w:ilvl w:val="1"/>
                <w:numId w:val="15"/>
              </w:numPr>
              <w:tabs>
                <w:tab w:val="left" w:pos="646"/>
              </w:tabs>
              <w:spacing w:before="3" w:line="251" w:lineRule="exact"/>
              <w:ind w:left="646" w:hanging="179"/>
            </w:pPr>
            <w:r>
              <w:t>Determine</w:t>
            </w:r>
            <w:r>
              <w:rPr>
                <w:spacing w:val="-8"/>
              </w:rPr>
              <w:t xml:space="preserve"> </w:t>
            </w:r>
            <w:r>
              <w:t>services</w:t>
            </w:r>
            <w:r>
              <w:rPr>
                <w:spacing w:val="-5"/>
              </w:rPr>
              <w:t xml:space="preserve"> </w:t>
            </w:r>
            <w:r>
              <w:t>to</w:t>
            </w:r>
            <w:r>
              <w:rPr>
                <w:spacing w:val="-4"/>
              </w:rPr>
              <w:t xml:space="preserve"> </w:t>
            </w:r>
            <w:r>
              <w:t>be</w:t>
            </w:r>
            <w:r>
              <w:rPr>
                <w:spacing w:val="-5"/>
              </w:rPr>
              <w:t xml:space="preserve"> </w:t>
            </w:r>
            <w:r>
              <w:t>provided</w:t>
            </w:r>
            <w:r>
              <w:rPr>
                <w:spacing w:val="-3"/>
              </w:rPr>
              <w:t xml:space="preserve"> </w:t>
            </w:r>
            <w:r>
              <w:t>through</w:t>
            </w:r>
            <w:r>
              <w:rPr>
                <w:spacing w:val="-4"/>
              </w:rPr>
              <w:t xml:space="preserve"> </w:t>
            </w:r>
            <w:r>
              <w:t>the</w:t>
            </w:r>
            <w:r>
              <w:rPr>
                <w:spacing w:val="-5"/>
              </w:rPr>
              <w:t xml:space="preserve"> </w:t>
            </w:r>
            <w:r>
              <w:t>one-stop</w:t>
            </w:r>
            <w:r>
              <w:rPr>
                <w:spacing w:val="-3"/>
              </w:rPr>
              <w:t xml:space="preserve"> </w:t>
            </w:r>
            <w:r>
              <w:t>delivery</w:t>
            </w:r>
            <w:r>
              <w:rPr>
                <w:spacing w:val="-6"/>
              </w:rPr>
              <w:t xml:space="preserve"> </w:t>
            </w:r>
            <w:r>
              <w:t>system,</w:t>
            </w:r>
            <w:r>
              <w:rPr>
                <w:spacing w:val="-19"/>
              </w:rPr>
              <w:t xml:space="preserve"> </w:t>
            </w:r>
            <w:r>
              <w:rPr>
                <w:spacing w:val="-5"/>
              </w:rPr>
              <w:t>and</w:t>
            </w:r>
          </w:p>
          <w:p w14:paraId="365A97B0" w14:textId="77777777" w:rsidR="00E41A5B" w:rsidRDefault="00DA7B02">
            <w:pPr>
              <w:pStyle w:val="TableParagraph"/>
              <w:numPr>
                <w:ilvl w:val="1"/>
                <w:numId w:val="15"/>
              </w:numPr>
              <w:tabs>
                <w:tab w:val="left" w:pos="646"/>
              </w:tabs>
              <w:spacing w:line="251" w:lineRule="exact"/>
              <w:ind w:left="646" w:hanging="179"/>
            </w:pPr>
            <w:r>
              <w:t>Develop</w:t>
            </w:r>
            <w:r>
              <w:rPr>
                <w:spacing w:val="-5"/>
              </w:rPr>
              <w:t xml:space="preserve"> </w:t>
            </w:r>
            <w:r>
              <w:t>and</w:t>
            </w:r>
            <w:r>
              <w:rPr>
                <w:spacing w:val="-5"/>
              </w:rPr>
              <w:t xml:space="preserve"> </w:t>
            </w:r>
            <w:r>
              <w:t>agree</w:t>
            </w:r>
            <w:r>
              <w:rPr>
                <w:spacing w:val="-2"/>
              </w:rPr>
              <w:t xml:space="preserve"> </w:t>
            </w:r>
            <w:r>
              <w:t>on</w:t>
            </w:r>
            <w:r>
              <w:rPr>
                <w:spacing w:val="-5"/>
              </w:rPr>
              <w:t xml:space="preserve"> </w:t>
            </w:r>
            <w:r>
              <w:t>a</w:t>
            </w:r>
            <w:r>
              <w:rPr>
                <w:spacing w:val="-1"/>
              </w:rPr>
              <w:t xml:space="preserve"> </w:t>
            </w:r>
            <w:r>
              <w:t>one-stop</w:t>
            </w:r>
            <w:r>
              <w:rPr>
                <w:spacing w:val="-2"/>
              </w:rPr>
              <w:t xml:space="preserve"> </w:t>
            </w:r>
            <w:r>
              <w:t>delivery</w:t>
            </w:r>
            <w:r>
              <w:rPr>
                <w:spacing w:val="-5"/>
              </w:rPr>
              <w:t xml:space="preserve"> </w:t>
            </w:r>
            <w:r>
              <w:t>system</w:t>
            </w:r>
            <w:r>
              <w:rPr>
                <w:spacing w:val="-5"/>
              </w:rPr>
              <w:t xml:space="preserve"> </w:t>
            </w:r>
            <w:r>
              <w:t>operating</w:t>
            </w:r>
            <w:r>
              <w:rPr>
                <w:spacing w:val="-17"/>
              </w:rPr>
              <w:t xml:space="preserve"> </w:t>
            </w:r>
            <w:r>
              <w:rPr>
                <w:spacing w:val="-2"/>
              </w:rPr>
              <w:t>budget(s).</w:t>
            </w:r>
          </w:p>
        </w:tc>
      </w:tr>
      <w:tr w:rsidR="00E41A5B" w14:paraId="365A97B5" w14:textId="77777777">
        <w:trPr>
          <w:trHeight w:val="498"/>
        </w:trPr>
        <w:tc>
          <w:tcPr>
            <w:tcW w:w="5110" w:type="dxa"/>
            <w:tcBorders>
              <w:right w:val="nil"/>
            </w:tcBorders>
          </w:tcPr>
          <w:p w14:paraId="365A97B2" w14:textId="77777777" w:rsidR="00E41A5B" w:rsidRDefault="00DA7B02">
            <w:pPr>
              <w:pStyle w:val="TableParagraph"/>
              <w:spacing w:before="123"/>
              <w:rPr>
                <w:b/>
              </w:rPr>
            </w:pPr>
            <w:r>
              <w:rPr>
                <w:noProof/>
              </w:rPr>
              <mc:AlternateContent>
                <mc:Choice Requires="wpg">
                  <w:drawing>
                    <wp:anchor distT="0" distB="0" distL="0" distR="0" simplePos="0" relativeHeight="487006208" behindDoc="1" locked="0" layoutInCell="1" allowOverlap="1" wp14:anchorId="365A989C" wp14:editId="365A989D">
                      <wp:simplePos x="0" y="0"/>
                      <wp:positionH relativeFrom="column">
                        <wp:posOffset>3047</wp:posOffset>
                      </wp:positionH>
                      <wp:positionV relativeFrom="paragraph">
                        <wp:posOffset>-259</wp:posOffset>
                      </wp:positionV>
                      <wp:extent cx="6845934" cy="31750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5934" cy="317500"/>
                                <a:chOff x="0" y="0"/>
                                <a:chExt cx="6845934" cy="317500"/>
                              </a:xfrm>
                            </wpg:grpSpPr>
                            <wps:wsp>
                              <wps:cNvPr id="7" name="Graphic 7"/>
                              <wps:cNvSpPr/>
                              <wps:spPr>
                                <a:xfrm>
                                  <a:off x="3228973" y="160148"/>
                                  <a:ext cx="457200" cy="91440"/>
                                </a:xfrm>
                                <a:custGeom>
                                  <a:avLst/>
                                  <a:gdLst/>
                                  <a:ahLst/>
                                  <a:cxnLst/>
                                  <a:rect l="l" t="t" r="r" b="b"/>
                                  <a:pathLst>
                                    <a:path w="457200" h="91440">
                                      <a:moveTo>
                                        <a:pt x="457200" y="0"/>
                                      </a:moveTo>
                                      <a:lnTo>
                                        <a:pt x="0" y="0"/>
                                      </a:lnTo>
                                      <a:lnTo>
                                        <a:pt x="228600" y="91440"/>
                                      </a:lnTo>
                                      <a:lnTo>
                                        <a:pt x="457200" y="0"/>
                                      </a:lnTo>
                                      <a:close/>
                                    </a:path>
                                  </a:pathLst>
                                </a:custGeom>
                                <a:solidFill>
                                  <a:srgbClr val="BFBFBF">
                                    <a:alpha val="50195"/>
                                  </a:srgbClr>
                                </a:solidFill>
                              </wps:spPr>
                              <wps:bodyPr wrap="square" lIns="0" tIns="0" rIns="0" bIns="0" rtlCol="0">
                                <a:prstTxWarp prst="textNoShape">
                                  <a:avLst/>
                                </a:prstTxWarp>
                                <a:noAutofit/>
                              </wps:bodyPr>
                            </wps:wsp>
                            <wps:wsp>
                              <wps:cNvPr id="8" name="Graphic 8"/>
                              <wps:cNvSpPr/>
                              <wps:spPr>
                                <a:xfrm>
                                  <a:off x="3228973" y="160148"/>
                                  <a:ext cx="457200" cy="91440"/>
                                </a:xfrm>
                                <a:custGeom>
                                  <a:avLst/>
                                  <a:gdLst/>
                                  <a:ahLst/>
                                  <a:cxnLst/>
                                  <a:rect l="l" t="t" r="r" b="b"/>
                                  <a:pathLst>
                                    <a:path w="457200" h="91440">
                                      <a:moveTo>
                                        <a:pt x="0" y="0"/>
                                      </a:moveTo>
                                      <a:lnTo>
                                        <a:pt x="228600" y="91440"/>
                                      </a:lnTo>
                                      <a:lnTo>
                                        <a:pt x="457200" y="0"/>
                                      </a:lnTo>
                                      <a:lnTo>
                                        <a:pt x="0" y="0"/>
                                      </a:lnTo>
                                      <a:close/>
                                    </a:path>
                                  </a:pathLst>
                                </a:custGeom>
                                <a:ln w="9525">
                                  <a:solidFill>
                                    <a:srgbClr val="DADADA"/>
                                  </a:solidFill>
                                  <a:prstDash val="solid"/>
                                </a:ln>
                              </wps:spPr>
                              <wps:bodyPr wrap="square" lIns="0" tIns="0" rIns="0" bIns="0" rtlCol="0">
                                <a:prstTxWarp prst="textNoShape">
                                  <a:avLst/>
                                </a:prstTxWarp>
                                <a:noAutofit/>
                              </wps:bodyPr>
                            </wps:wsp>
                            <wps:wsp>
                              <wps:cNvPr id="9" name="Graphic 9"/>
                              <wps:cNvSpPr/>
                              <wps:spPr>
                                <a:xfrm>
                                  <a:off x="0" y="0"/>
                                  <a:ext cx="6845934" cy="317500"/>
                                </a:xfrm>
                                <a:custGeom>
                                  <a:avLst/>
                                  <a:gdLst/>
                                  <a:ahLst/>
                                  <a:cxnLst/>
                                  <a:rect l="l" t="t" r="r" b="b"/>
                                  <a:pathLst>
                                    <a:path w="6845934" h="317500">
                                      <a:moveTo>
                                        <a:pt x="6845808" y="0"/>
                                      </a:moveTo>
                                      <a:lnTo>
                                        <a:pt x="3415284" y="0"/>
                                      </a:lnTo>
                                      <a:lnTo>
                                        <a:pt x="0" y="0"/>
                                      </a:lnTo>
                                      <a:lnTo>
                                        <a:pt x="0" y="316992"/>
                                      </a:lnTo>
                                      <a:lnTo>
                                        <a:pt x="3415284" y="316992"/>
                                      </a:lnTo>
                                      <a:lnTo>
                                        <a:pt x="6845808" y="316992"/>
                                      </a:lnTo>
                                      <a:lnTo>
                                        <a:pt x="6845808" y="0"/>
                                      </a:lnTo>
                                      <a:close/>
                                    </a:path>
                                  </a:pathLst>
                                </a:custGeom>
                                <a:solidFill>
                                  <a:srgbClr val="BFBFBF"/>
                                </a:solidFill>
                              </wps:spPr>
                              <wps:bodyPr wrap="square" lIns="0" tIns="0" rIns="0" bIns="0" rtlCol="0">
                                <a:prstTxWarp prst="textNoShape">
                                  <a:avLst/>
                                </a:prstTxWarp>
                                <a:noAutofit/>
                              </wps:bodyPr>
                            </wps:wsp>
                          </wpg:wgp>
                        </a:graphicData>
                      </a:graphic>
                    </wp:anchor>
                  </w:drawing>
                </mc:Choice>
                <mc:Fallback>
                  <w:pict>
                    <v:group w14:anchorId="37E85A07" id="Group 6" o:spid="_x0000_s1026" style="position:absolute;margin-left:.25pt;margin-top:0;width:539.05pt;height:25pt;z-index:-16310272;mso-wrap-distance-left:0;mso-wrap-distance-right:0" coordsize="68459,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">
                      <v:shape id="Graphic 7" o:spid="_x0000_s1027" style="position:absolute;left:32289;top:1601;width:4572;height:914;visibility:visible;mso-wrap-style:square;v-text-anchor:top" coordsize="457200,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" path="m457200,l,,228600,91440,457200,xe" fillcolor="#bfbfbf" stroked="f">
                        <v:fill opacity="32896f"/>
                        <v:path arrowok="t"/>
                      </v:shape>
                      <v:shape id="Graphic 8" o:spid="_x0000_s1028" style="position:absolute;left:32289;top:1601;width:4572;height:914;visibility:visible;mso-wrap-style:square;v-text-anchor:top" coordsize="457200,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" path="m,l228600,91440,457200,,,xe" filled="f" strokecolor="#dadada">
                        <v:path arrowok="t"/>
                      </v:shape>
                      <v:shape id="Graphic 9" o:spid="_x0000_s1029" style="position:absolute;width:68459;height:3175;visibility:visible;mso-wrap-style:square;v-text-anchor:top" coordsize="6845934,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" path="m6845808,l3415284,,,,,316992r3415284,l6845808,316992,6845808,xe" fillcolor="#bfbfbf" stroked="f">
                        <v:path arrowok="t"/>
                      </v:shape>
                    </v:group>
                  </w:pict>
                </mc:Fallback>
              </mc:AlternateContent>
            </w:r>
            <w:r>
              <w:rPr>
                <w:b/>
              </w:rPr>
              <w:t>MEMORANDUM</w:t>
            </w:r>
            <w:r>
              <w:rPr>
                <w:b/>
                <w:spacing w:val="-12"/>
              </w:rPr>
              <w:t xml:space="preserve"> </w:t>
            </w:r>
            <w:r>
              <w:rPr>
                <w:b/>
              </w:rPr>
              <w:t>OF</w:t>
            </w:r>
            <w:r>
              <w:rPr>
                <w:b/>
                <w:spacing w:val="-9"/>
              </w:rPr>
              <w:t xml:space="preserve"> </w:t>
            </w:r>
            <w:r>
              <w:rPr>
                <w:b/>
              </w:rPr>
              <w:t>UNDERSTANDING</w:t>
            </w:r>
            <w:r>
              <w:rPr>
                <w:b/>
                <w:spacing w:val="-11"/>
              </w:rPr>
              <w:t xml:space="preserve"> </w:t>
            </w:r>
            <w:r>
              <w:rPr>
                <w:b/>
                <w:spacing w:val="-4"/>
              </w:rPr>
              <w:t>(MOU)</w:t>
            </w:r>
          </w:p>
        </w:tc>
        <w:tc>
          <w:tcPr>
            <w:tcW w:w="5681" w:type="dxa"/>
            <w:tcBorders>
              <w:left w:val="nil"/>
            </w:tcBorders>
          </w:tcPr>
          <w:p w14:paraId="365A97B3" w14:textId="77777777" w:rsidR="00E41A5B" w:rsidRDefault="00DA7B02">
            <w:pPr>
              <w:pStyle w:val="TableParagraph"/>
              <w:spacing w:line="239" w:lineRule="exact"/>
              <w:ind w:left="0" w:right="159"/>
              <w:jc w:val="right"/>
              <w:rPr>
                <w:i/>
              </w:rPr>
            </w:pPr>
            <w:r>
              <w:rPr>
                <w:i/>
              </w:rPr>
              <w:t>WIOA</w:t>
            </w:r>
            <w:r>
              <w:rPr>
                <w:i/>
                <w:spacing w:val="-6"/>
              </w:rPr>
              <w:t xml:space="preserve"> </w:t>
            </w:r>
            <w:r>
              <w:rPr>
                <w:i/>
              </w:rPr>
              <w:t>sec.</w:t>
            </w:r>
            <w:r>
              <w:rPr>
                <w:i/>
                <w:spacing w:val="-2"/>
              </w:rPr>
              <w:t xml:space="preserve"> </w:t>
            </w:r>
            <w:r>
              <w:rPr>
                <w:i/>
              </w:rPr>
              <w:t>121(c);</w:t>
            </w:r>
            <w:r>
              <w:rPr>
                <w:i/>
                <w:spacing w:val="-1"/>
              </w:rPr>
              <w:t xml:space="preserve"> </w:t>
            </w:r>
            <w:r>
              <w:rPr>
                <w:i/>
              </w:rPr>
              <w:t>20</w:t>
            </w:r>
            <w:r>
              <w:rPr>
                <w:i/>
                <w:spacing w:val="-2"/>
              </w:rPr>
              <w:t xml:space="preserve"> </w:t>
            </w:r>
            <w:r>
              <w:rPr>
                <w:i/>
              </w:rPr>
              <w:t>CFR</w:t>
            </w:r>
            <w:r>
              <w:rPr>
                <w:i/>
                <w:spacing w:val="-5"/>
              </w:rPr>
              <w:t xml:space="preserve"> </w:t>
            </w:r>
            <w:r>
              <w:rPr>
                <w:i/>
              </w:rPr>
              <w:t>678.500,</w:t>
            </w:r>
            <w:r>
              <w:rPr>
                <w:i/>
                <w:spacing w:val="-2"/>
              </w:rPr>
              <w:t xml:space="preserve"> </w:t>
            </w:r>
            <w:r>
              <w:rPr>
                <w:i/>
              </w:rPr>
              <w:t>34</w:t>
            </w:r>
            <w:r>
              <w:rPr>
                <w:i/>
                <w:spacing w:val="-2"/>
              </w:rPr>
              <w:t xml:space="preserve"> </w:t>
            </w:r>
            <w:r>
              <w:rPr>
                <w:i/>
              </w:rPr>
              <w:t>CFR</w:t>
            </w:r>
            <w:r>
              <w:rPr>
                <w:i/>
                <w:spacing w:val="-3"/>
              </w:rPr>
              <w:t xml:space="preserve"> </w:t>
            </w:r>
            <w:r>
              <w:rPr>
                <w:i/>
                <w:spacing w:val="-2"/>
              </w:rPr>
              <w:t>361.500,</w:t>
            </w:r>
          </w:p>
          <w:p w14:paraId="365A97B4" w14:textId="77777777" w:rsidR="00E41A5B" w:rsidRDefault="00DA7B02">
            <w:pPr>
              <w:pStyle w:val="TableParagraph"/>
              <w:spacing w:line="240" w:lineRule="exact"/>
              <w:ind w:left="0" w:right="159"/>
              <w:jc w:val="right"/>
              <w:rPr>
                <w:i/>
              </w:rPr>
            </w:pPr>
            <w:r>
              <w:rPr>
                <w:i/>
              </w:rPr>
              <w:t>34</w:t>
            </w:r>
            <w:r>
              <w:rPr>
                <w:i/>
                <w:spacing w:val="-1"/>
              </w:rPr>
              <w:t xml:space="preserve"> </w:t>
            </w:r>
            <w:r>
              <w:rPr>
                <w:i/>
              </w:rPr>
              <w:t>CFR</w:t>
            </w:r>
            <w:r>
              <w:rPr>
                <w:i/>
                <w:spacing w:val="-2"/>
              </w:rPr>
              <w:t xml:space="preserve"> 463.500</w:t>
            </w:r>
          </w:p>
        </w:tc>
      </w:tr>
      <w:tr w:rsidR="00E41A5B" w14:paraId="365A97B9" w14:textId="77777777">
        <w:trPr>
          <w:trHeight w:val="1266"/>
        </w:trPr>
        <w:tc>
          <w:tcPr>
            <w:tcW w:w="10791" w:type="dxa"/>
            <w:gridSpan w:val="2"/>
          </w:tcPr>
          <w:p w14:paraId="365A97B6" w14:textId="77777777" w:rsidR="00E41A5B" w:rsidRDefault="00DA7B02">
            <w:pPr>
              <w:pStyle w:val="TableParagraph"/>
              <w:numPr>
                <w:ilvl w:val="0"/>
                <w:numId w:val="14"/>
              </w:numPr>
              <w:tabs>
                <w:tab w:val="left" w:pos="256"/>
              </w:tabs>
              <w:spacing w:line="242" w:lineRule="auto"/>
              <w:ind w:right="1048"/>
            </w:pPr>
            <w:r>
              <w:t>The</w:t>
            </w:r>
            <w:r>
              <w:rPr>
                <w:spacing w:val="-3"/>
              </w:rPr>
              <w:t xml:space="preserve"> </w:t>
            </w:r>
            <w:r>
              <w:t>LWDB,</w:t>
            </w:r>
            <w:r>
              <w:rPr>
                <w:spacing w:val="-1"/>
              </w:rPr>
              <w:t xml:space="preserve"> </w:t>
            </w:r>
            <w:r>
              <w:t>with</w:t>
            </w:r>
            <w:r>
              <w:rPr>
                <w:spacing w:val="-1"/>
              </w:rPr>
              <w:t xml:space="preserve"> </w:t>
            </w:r>
            <w:r>
              <w:t>the</w:t>
            </w:r>
            <w:r>
              <w:rPr>
                <w:spacing w:val="-1"/>
              </w:rPr>
              <w:t xml:space="preserve"> </w:t>
            </w:r>
            <w:r>
              <w:t>agreement of the</w:t>
            </w:r>
            <w:r>
              <w:rPr>
                <w:spacing w:val="-3"/>
              </w:rPr>
              <w:t xml:space="preserve"> </w:t>
            </w:r>
            <w:r>
              <w:t>CEO(s),</w:t>
            </w:r>
            <w:r>
              <w:rPr>
                <w:spacing w:val="-1"/>
              </w:rPr>
              <w:t xml:space="preserve"> </w:t>
            </w:r>
            <w:r>
              <w:t>develops</w:t>
            </w:r>
            <w:r>
              <w:rPr>
                <w:spacing w:val="-1"/>
              </w:rPr>
              <w:t xml:space="preserve"> </w:t>
            </w:r>
            <w:r>
              <w:t>and</w:t>
            </w:r>
            <w:r>
              <w:rPr>
                <w:spacing w:val="-4"/>
              </w:rPr>
              <w:t xml:space="preserve"> </w:t>
            </w:r>
            <w:proofErr w:type="gramStart"/>
            <w:r>
              <w:t>enters</w:t>
            </w:r>
            <w:r>
              <w:rPr>
                <w:spacing w:val="-3"/>
              </w:rPr>
              <w:t xml:space="preserve"> </w:t>
            </w:r>
            <w:r>
              <w:t>into</w:t>
            </w:r>
            <w:proofErr w:type="gramEnd"/>
            <w:r>
              <w:rPr>
                <w:spacing w:val="-1"/>
              </w:rPr>
              <w:t xml:space="preserve"> </w:t>
            </w:r>
            <w:r>
              <w:t>a</w:t>
            </w:r>
            <w:r>
              <w:rPr>
                <w:spacing w:val="-3"/>
              </w:rPr>
              <w:t xml:space="preserve"> </w:t>
            </w:r>
            <w:r>
              <w:t>signed</w:t>
            </w:r>
            <w:r>
              <w:rPr>
                <w:spacing w:val="-4"/>
              </w:rPr>
              <w:t xml:space="preserve"> </w:t>
            </w:r>
            <w:r>
              <w:t>umbrella</w:t>
            </w:r>
            <w:r>
              <w:rPr>
                <w:spacing w:val="-1"/>
              </w:rPr>
              <w:t xml:space="preserve"> </w:t>
            </w:r>
            <w:proofErr w:type="spellStart"/>
            <w:proofErr w:type="gramStart"/>
            <w:r>
              <w:t>memorandumof</w:t>
            </w:r>
            <w:proofErr w:type="spellEnd"/>
            <w:proofErr w:type="gramEnd"/>
            <w:r>
              <w:t xml:space="preserve"> understanding (MOU) or individual MOUs with the one-stop</w:t>
            </w:r>
            <w:r>
              <w:rPr>
                <w:spacing w:val="-4"/>
              </w:rPr>
              <w:t xml:space="preserve"> </w:t>
            </w:r>
            <w:r>
              <w:t>partners.</w:t>
            </w:r>
          </w:p>
          <w:p w14:paraId="365A97B7" w14:textId="77777777" w:rsidR="00E41A5B" w:rsidRDefault="00DA7B02">
            <w:pPr>
              <w:pStyle w:val="TableParagraph"/>
              <w:numPr>
                <w:ilvl w:val="0"/>
                <w:numId w:val="14"/>
              </w:numPr>
              <w:tabs>
                <w:tab w:val="left" w:pos="255"/>
              </w:tabs>
              <w:spacing w:line="251" w:lineRule="exact"/>
              <w:ind w:left="255" w:hanging="179"/>
            </w:pPr>
            <w:r>
              <w:t>MOUs</w:t>
            </w:r>
            <w:r>
              <w:rPr>
                <w:spacing w:val="-4"/>
              </w:rPr>
              <w:t xml:space="preserve"> </w:t>
            </w:r>
            <w:r>
              <w:t>must,</w:t>
            </w:r>
            <w:r>
              <w:rPr>
                <w:spacing w:val="-3"/>
              </w:rPr>
              <w:t xml:space="preserve"> </w:t>
            </w:r>
            <w:r>
              <w:t>at</w:t>
            </w:r>
            <w:r>
              <w:rPr>
                <w:spacing w:val="-5"/>
              </w:rPr>
              <w:t xml:space="preserve"> </w:t>
            </w:r>
            <w:r>
              <w:t>a</w:t>
            </w:r>
            <w:r>
              <w:rPr>
                <w:spacing w:val="-3"/>
              </w:rPr>
              <w:t xml:space="preserve"> </w:t>
            </w:r>
            <w:r>
              <w:t>minimum,</w:t>
            </w:r>
            <w:r>
              <w:rPr>
                <w:spacing w:val="-3"/>
              </w:rPr>
              <w:t xml:space="preserve"> </w:t>
            </w:r>
            <w:r>
              <w:t>describe</w:t>
            </w:r>
            <w:r>
              <w:rPr>
                <w:spacing w:val="-3"/>
              </w:rPr>
              <w:t xml:space="preserve"> </w:t>
            </w:r>
            <w:r>
              <w:t>the</w:t>
            </w:r>
            <w:r>
              <w:rPr>
                <w:spacing w:val="-3"/>
              </w:rPr>
              <w:t xml:space="preserve"> </w:t>
            </w:r>
            <w:r>
              <w:t>services</w:t>
            </w:r>
            <w:r>
              <w:rPr>
                <w:spacing w:val="-3"/>
              </w:rPr>
              <w:t xml:space="preserve"> </w:t>
            </w:r>
            <w:r>
              <w:t>to</w:t>
            </w:r>
            <w:r>
              <w:rPr>
                <w:spacing w:val="-6"/>
              </w:rPr>
              <w:t xml:space="preserve"> </w:t>
            </w:r>
            <w:r>
              <w:t>be</w:t>
            </w:r>
            <w:r>
              <w:rPr>
                <w:spacing w:val="-5"/>
              </w:rPr>
              <w:t xml:space="preserve"> </w:t>
            </w:r>
            <w:r>
              <w:t>provided,</w:t>
            </w:r>
            <w:r>
              <w:rPr>
                <w:spacing w:val="-5"/>
              </w:rPr>
              <w:t xml:space="preserve"> </w:t>
            </w:r>
            <w:r>
              <w:t>contain</w:t>
            </w:r>
            <w:r>
              <w:rPr>
                <w:spacing w:val="-3"/>
              </w:rPr>
              <w:t xml:space="preserve"> </w:t>
            </w:r>
            <w:r>
              <w:t>the</w:t>
            </w:r>
            <w:r>
              <w:rPr>
                <w:spacing w:val="-3"/>
              </w:rPr>
              <w:t xml:space="preserve"> </w:t>
            </w:r>
            <w:r>
              <w:t>one-stop</w:t>
            </w:r>
            <w:r>
              <w:rPr>
                <w:spacing w:val="-4"/>
              </w:rPr>
              <w:t xml:space="preserve"> </w:t>
            </w:r>
            <w:r>
              <w:t>operating</w:t>
            </w:r>
            <w:r>
              <w:rPr>
                <w:spacing w:val="-5"/>
              </w:rPr>
              <w:t xml:space="preserve"> </w:t>
            </w:r>
            <w:r>
              <w:t>budget,</w:t>
            </w:r>
            <w:r>
              <w:rPr>
                <w:spacing w:val="-3"/>
              </w:rPr>
              <w:t xml:space="preserve"> </w:t>
            </w:r>
            <w:r>
              <w:t>outline</w:t>
            </w:r>
            <w:r>
              <w:rPr>
                <w:spacing w:val="-3"/>
              </w:rPr>
              <w:t xml:space="preserve"> </w:t>
            </w:r>
            <w:r>
              <w:rPr>
                <w:spacing w:val="-5"/>
              </w:rPr>
              <w:t>how</w:t>
            </w:r>
          </w:p>
          <w:p w14:paraId="365A97B8" w14:textId="77777777" w:rsidR="00E41A5B" w:rsidRDefault="00DA7B02">
            <w:pPr>
              <w:pStyle w:val="TableParagraph"/>
              <w:spacing w:line="252" w:lineRule="exact"/>
              <w:ind w:left="256" w:right="131"/>
            </w:pPr>
            <w:r>
              <w:t>infrastructure</w:t>
            </w:r>
            <w:r>
              <w:rPr>
                <w:spacing w:val="-4"/>
              </w:rPr>
              <w:t xml:space="preserve"> </w:t>
            </w:r>
            <w:r>
              <w:t>and</w:t>
            </w:r>
            <w:r>
              <w:rPr>
                <w:spacing w:val="-2"/>
              </w:rPr>
              <w:t xml:space="preserve"> </w:t>
            </w:r>
            <w:r>
              <w:t>additional</w:t>
            </w:r>
            <w:r>
              <w:rPr>
                <w:spacing w:val="-1"/>
              </w:rPr>
              <w:t xml:space="preserve"> </w:t>
            </w:r>
            <w:r>
              <w:t>costs</w:t>
            </w:r>
            <w:r>
              <w:rPr>
                <w:spacing w:val="-2"/>
              </w:rPr>
              <w:t xml:space="preserve"> </w:t>
            </w:r>
            <w:r>
              <w:t>will</w:t>
            </w:r>
            <w:r>
              <w:rPr>
                <w:spacing w:val="-1"/>
              </w:rPr>
              <w:t xml:space="preserve"> </w:t>
            </w:r>
            <w:r>
              <w:t>be</w:t>
            </w:r>
            <w:r>
              <w:rPr>
                <w:spacing w:val="-4"/>
              </w:rPr>
              <w:t xml:space="preserve"> </w:t>
            </w:r>
            <w:r>
              <w:t>funded,</w:t>
            </w:r>
            <w:r>
              <w:rPr>
                <w:spacing w:val="-2"/>
              </w:rPr>
              <w:t xml:space="preserve"> </w:t>
            </w:r>
            <w:r>
              <w:t>and</w:t>
            </w:r>
            <w:r>
              <w:rPr>
                <w:spacing w:val="-5"/>
              </w:rPr>
              <w:t xml:space="preserve"> </w:t>
            </w:r>
            <w:r>
              <w:t>contain</w:t>
            </w:r>
            <w:r>
              <w:rPr>
                <w:spacing w:val="-5"/>
              </w:rPr>
              <w:t xml:space="preserve"> </w:t>
            </w:r>
            <w:r>
              <w:t>several</w:t>
            </w:r>
            <w:r>
              <w:rPr>
                <w:spacing w:val="-1"/>
              </w:rPr>
              <w:t xml:space="preserve"> </w:t>
            </w:r>
            <w:r>
              <w:t>other</w:t>
            </w:r>
            <w:r>
              <w:rPr>
                <w:spacing w:val="-4"/>
              </w:rPr>
              <w:t xml:space="preserve"> </w:t>
            </w:r>
            <w:r>
              <w:t>elements</w:t>
            </w:r>
            <w:r>
              <w:rPr>
                <w:spacing w:val="-2"/>
              </w:rPr>
              <w:t xml:space="preserve"> </w:t>
            </w:r>
            <w:r>
              <w:t>outlined</w:t>
            </w:r>
            <w:r>
              <w:rPr>
                <w:spacing w:val="-2"/>
              </w:rPr>
              <w:t xml:space="preserve"> </w:t>
            </w:r>
            <w:r>
              <w:t>in</w:t>
            </w:r>
            <w:r>
              <w:rPr>
                <w:spacing w:val="-5"/>
              </w:rPr>
              <w:t xml:space="preserve"> </w:t>
            </w:r>
            <w:r>
              <w:t>WIOA</w:t>
            </w:r>
            <w:r>
              <w:rPr>
                <w:spacing w:val="-3"/>
              </w:rPr>
              <w:t xml:space="preserve"> </w:t>
            </w:r>
            <w:r>
              <w:t>sec.</w:t>
            </w:r>
            <w:r>
              <w:rPr>
                <w:spacing w:val="-2"/>
              </w:rPr>
              <w:t xml:space="preserve"> </w:t>
            </w:r>
            <w:r>
              <w:t>121(c) and 20 CFR 678.500, 34 CFR 361.500, and 34 CFR</w:t>
            </w:r>
            <w:r>
              <w:rPr>
                <w:spacing w:val="-5"/>
              </w:rPr>
              <w:t xml:space="preserve"> </w:t>
            </w:r>
            <w:r>
              <w:t>463.500.</w:t>
            </w:r>
          </w:p>
        </w:tc>
      </w:tr>
      <w:tr w:rsidR="00E41A5B" w14:paraId="365A97BE" w14:textId="77777777">
        <w:trPr>
          <w:trHeight w:val="2277"/>
        </w:trPr>
        <w:tc>
          <w:tcPr>
            <w:tcW w:w="10791" w:type="dxa"/>
            <w:gridSpan w:val="2"/>
          </w:tcPr>
          <w:p w14:paraId="365A97BA" w14:textId="77777777" w:rsidR="00E41A5B" w:rsidRDefault="00DA7B02">
            <w:pPr>
              <w:pStyle w:val="TableParagraph"/>
              <w:numPr>
                <w:ilvl w:val="0"/>
                <w:numId w:val="13"/>
              </w:numPr>
              <w:tabs>
                <w:tab w:val="left" w:pos="256"/>
              </w:tabs>
              <w:ind w:right="272"/>
            </w:pPr>
            <w:r>
              <w:t xml:space="preserve">An </w:t>
            </w:r>
            <w:r>
              <w:rPr>
                <w:b/>
              </w:rPr>
              <w:t xml:space="preserve">Infrastructure Funding Agreement (IFA) </w:t>
            </w:r>
            <w:r>
              <w:t>is established that describes a reasonable cost allocation methodology,</w:t>
            </w:r>
            <w:r>
              <w:rPr>
                <w:spacing w:val="-2"/>
              </w:rPr>
              <w:t xml:space="preserve"> </w:t>
            </w:r>
            <w:r>
              <w:t>where</w:t>
            </w:r>
            <w:r>
              <w:rPr>
                <w:spacing w:val="-2"/>
              </w:rPr>
              <w:t xml:space="preserve"> </w:t>
            </w:r>
            <w:r>
              <w:t>infrastructure</w:t>
            </w:r>
            <w:r>
              <w:rPr>
                <w:spacing w:val="-4"/>
              </w:rPr>
              <w:t xml:space="preserve"> </w:t>
            </w:r>
            <w:r>
              <w:t>costs</w:t>
            </w:r>
            <w:r>
              <w:rPr>
                <w:spacing w:val="-4"/>
              </w:rPr>
              <w:t xml:space="preserve"> </w:t>
            </w:r>
            <w:r>
              <w:t>are</w:t>
            </w:r>
            <w:r>
              <w:rPr>
                <w:spacing w:val="-4"/>
              </w:rPr>
              <w:t xml:space="preserve"> </w:t>
            </w:r>
            <w:r>
              <w:t>charged</w:t>
            </w:r>
            <w:r>
              <w:rPr>
                <w:spacing w:val="-2"/>
              </w:rPr>
              <w:t xml:space="preserve"> </w:t>
            </w:r>
            <w:r>
              <w:t>to</w:t>
            </w:r>
            <w:r>
              <w:rPr>
                <w:spacing w:val="-5"/>
              </w:rPr>
              <w:t xml:space="preserve"> </w:t>
            </w:r>
            <w:r>
              <w:t>each</w:t>
            </w:r>
            <w:r>
              <w:rPr>
                <w:spacing w:val="-2"/>
              </w:rPr>
              <w:t xml:space="preserve"> </w:t>
            </w:r>
            <w:r>
              <w:t>partner</w:t>
            </w:r>
            <w:r>
              <w:rPr>
                <w:spacing w:val="-1"/>
              </w:rPr>
              <w:t xml:space="preserve"> </w:t>
            </w:r>
            <w:r>
              <w:t>based</w:t>
            </w:r>
            <w:r>
              <w:rPr>
                <w:spacing w:val="-2"/>
              </w:rPr>
              <w:t xml:space="preserve"> </w:t>
            </w:r>
            <w:r>
              <w:t>on</w:t>
            </w:r>
            <w:r>
              <w:rPr>
                <w:spacing w:val="-5"/>
              </w:rPr>
              <w:t xml:space="preserve"> </w:t>
            </w:r>
            <w:r>
              <w:t>partners’</w:t>
            </w:r>
            <w:r>
              <w:rPr>
                <w:spacing w:val="-1"/>
              </w:rPr>
              <w:t xml:space="preserve"> </w:t>
            </w:r>
            <w:r>
              <w:t>proportionate</w:t>
            </w:r>
            <w:r>
              <w:rPr>
                <w:spacing w:val="-2"/>
              </w:rPr>
              <w:t xml:space="preserve"> </w:t>
            </w:r>
            <w:r>
              <w:t>use</w:t>
            </w:r>
            <w:r>
              <w:rPr>
                <w:spacing w:val="-2"/>
              </w:rPr>
              <w:t xml:space="preserve"> </w:t>
            </w:r>
            <w:r>
              <w:t>of</w:t>
            </w:r>
            <w:r>
              <w:rPr>
                <w:spacing w:val="-1"/>
              </w:rPr>
              <w:t xml:space="preserve"> </w:t>
            </w:r>
            <w:r>
              <w:t>the</w:t>
            </w:r>
            <w:r>
              <w:rPr>
                <w:spacing w:val="-2"/>
              </w:rPr>
              <w:t xml:space="preserve"> </w:t>
            </w:r>
            <w:r>
              <w:t>one- stop center, relative to the benefits received from the use of the one-stop center consistent with Federal Cost Principles in the Uniform</w:t>
            </w:r>
            <w:r>
              <w:rPr>
                <w:spacing w:val="-1"/>
              </w:rPr>
              <w:t xml:space="preserve"> </w:t>
            </w:r>
            <w:r>
              <w:t>Guidance at 2 CFR part 200 and the Department of Labor exceptions at 2 CFR part</w:t>
            </w:r>
            <w:r>
              <w:rPr>
                <w:spacing w:val="-28"/>
              </w:rPr>
              <w:t xml:space="preserve"> </w:t>
            </w:r>
            <w:r>
              <w:t>2900.</w:t>
            </w:r>
          </w:p>
          <w:p w14:paraId="365A97BB" w14:textId="77777777" w:rsidR="00E41A5B" w:rsidRDefault="00DA7B02">
            <w:pPr>
              <w:pStyle w:val="TableParagraph"/>
              <w:numPr>
                <w:ilvl w:val="0"/>
                <w:numId w:val="13"/>
              </w:numPr>
              <w:tabs>
                <w:tab w:val="left" w:pos="256"/>
              </w:tabs>
              <w:ind w:right="387"/>
            </w:pPr>
            <w:r>
              <w:t>The</w:t>
            </w:r>
            <w:r>
              <w:rPr>
                <w:spacing w:val="-4"/>
              </w:rPr>
              <w:t xml:space="preserve"> </w:t>
            </w:r>
            <w:r>
              <w:t>IFA</w:t>
            </w:r>
            <w:r>
              <w:rPr>
                <w:spacing w:val="-1"/>
              </w:rPr>
              <w:t xml:space="preserve"> </w:t>
            </w:r>
            <w:r>
              <w:t>must</w:t>
            </w:r>
            <w:r>
              <w:rPr>
                <w:spacing w:val="-1"/>
              </w:rPr>
              <w:t xml:space="preserve"> </w:t>
            </w:r>
            <w:r>
              <w:t>be</w:t>
            </w:r>
            <w:r>
              <w:rPr>
                <w:spacing w:val="-2"/>
              </w:rPr>
              <w:t xml:space="preserve"> </w:t>
            </w:r>
            <w:r>
              <w:t>consistent</w:t>
            </w:r>
            <w:r>
              <w:rPr>
                <w:spacing w:val="-4"/>
              </w:rPr>
              <w:t xml:space="preserve"> </w:t>
            </w:r>
            <w:r>
              <w:t>with</w:t>
            </w:r>
            <w:r>
              <w:rPr>
                <w:spacing w:val="-5"/>
              </w:rPr>
              <w:t xml:space="preserve"> </w:t>
            </w:r>
            <w:r>
              <w:t>the</w:t>
            </w:r>
            <w:r>
              <w:rPr>
                <w:spacing w:val="-2"/>
              </w:rPr>
              <w:t xml:space="preserve"> </w:t>
            </w:r>
            <w:r>
              <w:t>partner</w:t>
            </w:r>
            <w:r>
              <w:rPr>
                <w:spacing w:val="-1"/>
              </w:rPr>
              <w:t xml:space="preserve"> </w:t>
            </w:r>
            <w:r>
              <w:t>programs’</w:t>
            </w:r>
            <w:r>
              <w:rPr>
                <w:spacing w:val="-1"/>
              </w:rPr>
              <w:t xml:space="preserve"> </w:t>
            </w:r>
            <w:r>
              <w:t>authorizing</w:t>
            </w:r>
            <w:r>
              <w:rPr>
                <w:spacing w:val="-5"/>
              </w:rPr>
              <w:t xml:space="preserve"> </w:t>
            </w:r>
            <w:r>
              <w:t>laws</w:t>
            </w:r>
            <w:r>
              <w:rPr>
                <w:spacing w:val="-2"/>
              </w:rPr>
              <w:t xml:space="preserve"> </w:t>
            </w:r>
            <w:r>
              <w:t>and</w:t>
            </w:r>
            <w:r>
              <w:rPr>
                <w:spacing w:val="-5"/>
              </w:rPr>
              <w:t xml:space="preserve"> </w:t>
            </w:r>
            <w:r>
              <w:t>regulations,</w:t>
            </w:r>
            <w:r>
              <w:rPr>
                <w:spacing w:val="-2"/>
              </w:rPr>
              <w:t xml:space="preserve"> </w:t>
            </w:r>
            <w:r>
              <w:t>and</w:t>
            </w:r>
            <w:r>
              <w:rPr>
                <w:spacing w:val="-2"/>
              </w:rPr>
              <w:t xml:space="preserve"> </w:t>
            </w:r>
            <w:r>
              <w:t>other</w:t>
            </w:r>
            <w:r>
              <w:rPr>
                <w:spacing w:val="-1"/>
              </w:rPr>
              <w:t xml:space="preserve"> </w:t>
            </w:r>
            <w:r>
              <w:t>applicable</w:t>
            </w:r>
            <w:r>
              <w:rPr>
                <w:spacing w:val="-4"/>
              </w:rPr>
              <w:t xml:space="preserve"> </w:t>
            </w:r>
            <w:r>
              <w:t xml:space="preserve">legal </w:t>
            </w:r>
            <w:r>
              <w:rPr>
                <w:spacing w:val="-2"/>
              </w:rPr>
              <w:t>requirements.</w:t>
            </w:r>
          </w:p>
          <w:p w14:paraId="365A97BC" w14:textId="77777777" w:rsidR="00E41A5B" w:rsidRDefault="00DA7B02">
            <w:pPr>
              <w:pStyle w:val="TableParagraph"/>
              <w:numPr>
                <w:ilvl w:val="0"/>
                <w:numId w:val="13"/>
              </w:numPr>
              <w:tabs>
                <w:tab w:val="left" w:pos="256"/>
              </w:tabs>
              <w:ind w:right="226"/>
            </w:pPr>
            <w:r>
              <w:t>Changes</w:t>
            </w:r>
            <w:r>
              <w:rPr>
                <w:spacing w:val="-2"/>
              </w:rPr>
              <w:t xml:space="preserve"> </w:t>
            </w:r>
            <w:r>
              <w:t>in</w:t>
            </w:r>
            <w:r>
              <w:rPr>
                <w:spacing w:val="-5"/>
              </w:rPr>
              <w:t xml:space="preserve"> </w:t>
            </w:r>
            <w:r>
              <w:t>the</w:t>
            </w:r>
            <w:r>
              <w:rPr>
                <w:spacing w:val="-2"/>
              </w:rPr>
              <w:t xml:space="preserve"> </w:t>
            </w:r>
            <w:r>
              <w:t>one-stop</w:t>
            </w:r>
            <w:r>
              <w:rPr>
                <w:spacing w:val="-2"/>
              </w:rPr>
              <w:t xml:space="preserve"> </w:t>
            </w:r>
            <w:r>
              <w:t>partners</w:t>
            </w:r>
            <w:r>
              <w:rPr>
                <w:spacing w:val="-2"/>
              </w:rPr>
              <w:t xml:space="preserve"> </w:t>
            </w:r>
            <w:r>
              <w:t>or</w:t>
            </w:r>
            <w:r>
              <w:rPr>
                <w:spacing w:val="-1"/>
              </w:rPr>
              <w:t xml:space="preserve"> </w:t>
            </w:r>
            <w:r>
              <w:t>an</w:t>
            </w:r>
            <w:r>
              <w:rPr>
                <w:spacing w:val="-2"/>
              </w:rPr>
              <w:t xml:space="preserve"> </w:t>
            </w:r>
            <w:r>
              <w:t>appeal</w:t>
            </w:r>
            <w:r>
              <w:rPr>
                <w:spacing w:val="-1"/>
              </w:rPr>
              <w:t xml:space="preserve"> </w:t>
            </w:r>
            <w:r>
              <w:t>by</w:t>
            </w:r>
            <w:r>
              <w:rPr>
                <w:spacing w:val="-5"/>
              </w:rPr>
              <w:t xml:space="preserve"> </w:t>
            </w:r>
            <w:r>
              <w:t>a</w:t>
            </w:r>
            <w:r>
              <w:rPr>
                <w:spacing w:val="-2"/>
              </w:rPr>
              <w:t xml:space="preserve"> </w:t>
            </w:r>
            <w:r>
              <w:t>one-stop</w:t>
            </w:r>
            <w:r>
              <w:rPr>
                <w:spacing w:val="-2"/>
              </w:rPr>
              <w:t xml:space="preserve"> </w:t>
            </w:r>
            <w:r>
              <w:t>partner’s</w:t>
            </w:r>
            <w:r>
              <w:rPr>
                <w:spacing w:val="-4"/>
              </w:rPr>
              <w:t xml:space="preserve"> </w:t>
            </w:r>
            <w:r>
              <w:t>infrastructure</w:t>
            </w:r>
            <w:r>
              <w:rPr>
                <w:spacing w:val="-4"/>
              </w:rPr>
              <w:t xml:space="preserve"> </w:t>
            </w:r>
            <w:r>
              <w:t>cost</w:t>
            </w:r>
            <w:r>
              <w:rPr>
                <w:spacing w:val="-4"/>
              </w:rPr>
              <w:t xml:space="preserve"> </w:t>
            </w:r>
            <w:r>
              <w:t>contributions</w:t>
            </w:r>
            <w:r>
              <w:rPr>
                <w:spacing w:val="-2"/>
              </w:rPr>
              <w:t xml:space="preserve"> </w:t>
            </w:r>
            <w:r>
              <w:t>will</w:t>
            </w:r>
            <w:r>
              <w:rPr>
                <w:spacing w:val="-4"/>
              </w:rPr>
              <w:t xml:space="preserve"> </w:t>
            </w:r>
            <w:r>
              <w:t>require</w:t>
            </w:r>
            <w:r>
              <w:rPr>
                <w:spacing w:val="-4"/>
              </w:rPr>
              <w:t xml:space="preserve"> </w:t>
            </w:r>
            <w:r>
              <w:t>an update of the MOU.</w:t>
            </w:r>
          </w:p>
          <w:p w14:paraId="365A97BD" w14:textId="77777777" w:rsidR="00E41A5B" w:rsidRDefault="00DA7B02">
            <w:pPr>
              <w:pStyle w:val="TableParagraph"/>
              <w:numPr>
                <w:ilvl w:val="0"/>
                <w:numId w:val="13"/>
              </w:numPr>
              <w:tabs>
                <w:tab w:val="left" w:pos="255"/>
              </w:tabs>
              <w:spacing w:line="236" w:lineRule="exact"/>
              <w:ind w:left="255" w:hanging="179"/>
            </w:pPr>
            <w:r>
              <w:t>The</w:t>
            </w:r>
            <w:r>
              <w:rPr>
                <w:spacing w:val="-5"/>
              </w:rPr>
              <w:t xml:space="preserve"> </w:t>
            </w:r>
            <w:r>
              <w:t>IFA</w:t>
            </w:r>
            <w:r>
              <w:rPr>
                <w:spacing w:val="-2"/>
              </w:rPr>
              <w:t xml:space="preserve"> </w:t>
            </w:r>
            <w:r>
              <w:t>is</w:t>
            </w:r>
            <w:r>
              <w:rPr>
                <w:spacing w:val="-2"/>
              </w:rPr>
              <w:t xml:space="preserve"> </w:t>
            </w:r>
            <w:r>
              <w:t>a</w:t>
            </w:r>
            <w:r>
              <w:rPr>
                <w:spacing w:val="-1"/>
              </w:rPr>
              <w:t xml:space="preserve"> </w:t>
            </w:r>
            <w:r>
              <w:t>part of</w:t>
            </w:r>
            <w:r>
              <w:rPr>
                <w:spacing w:val="-4"/>
              </w:rPr>
              <w:t xml:space="preserve"> </w:t>
            </w:r>
            <w:r>
              <w:t>the</w:t>
            </w:r>
            <w:r>
              <w:rPr>
                <w:spacing w:val="-1"/>
              </w:rPr>
              <w:t xml:space="preserve"> </w:t>
            </w:r>
            <w:r>
              <w:t>MOU;</w:t>
            </w:r>
            <w:r>
              <w:rPr>
                <w:spacing w:val="-1"/>
              </w:rPr>
              <w:t xml:space="preserve"> </w:t>
            </w:r>
            <w:r>
              <w:t>it</w:t>
            </w:r>
            <w:r>
              <w:rPr>
                <w:spacing w:val="-3"/>
              </w:rPr>
              <w:t xml:space="preserve"> </w:t>
            </w:r>
            <w:r>
              <w:t>is</w:t>
            </w:r>
            <w:r>
              <w:rPr>
                <w:spacing w:val="-2"/>
              </w:rPr>
              <w:t xml:space="preserve"> </w:t>
            </w:r>
            <w:r>
              <w:t>not</w:t>
            </w:r>
            <w:r>
              <w:rPr>
                <w:spacing w:val="-3"/>
              </w:rPr>
              <w:t xml:space="preserve"> </w:t>
            </w:r>
            <w:r>
              <w:t>a</w:t>
            </w:r>
            <w:r>
              <w:rPr>
                <w:spacing w:val="-1"/>
              </w:rPr>
              <w:t xml:space="preserve"> </w:t>
            </w:r>
            <w:r>
              <w:t>separate</w:t>
            </w:r>
            <w:r>
              <w:rPr>
                <w:spacing w:val="-24"/>
              </w:rPr>
              <w:t xml:space="preserve"> </w:t>
            </w:r>
            <w:r>
              <w:rPr>
                <w:spacing w:val="-2"/>
              </w:rPr>
              <w:t>document.</w:t>
            </w:r>
          </w:p>
        </w:tc>
      </w:tr>
      <w:tr w:rsidR="00E41A5B" w14:paraId="365A97C0" w14:textId="77777777">
        <w:trPr>
          <w:trHeight w:val="362"/>
        </w:trPr>
        <w:tc>
          <w:tcPr>
            <w:tcW w:w="10791" w:type="dxa"/>
            <w:gridSpan w:val="2"/>
            <w:tcBorders>
              <w:top w:val="nil"/>
              <w:left w:val="nil"/>
              <w:bottom w:val="single" w:sz="4" w:space="0" w:color="FF0000"/>
              <w:right w:val="nil"/>
            </w:tcBorders>
            <w:shd w:val="clear" w:color="auto" w:fill="DADADA"/>
          </w:tcPr>
          <w:p w14:paraId="365A97BF" w14:textId="77777777" w:rsidR="00E41A5B" w:rsidRDefault="00DA7B02">
            <w:pPr>
              <w:pStyle w:val="TableParagraph"/>
              <w:spacing w:before="44"/>
              <w:ind w:left="7"/>
              <w:jc w:val="center"/>
              <w:rPr>
                <w:b/>
                <w:sz w:val="24"/>
              </w:rPr>
            </w:pPr>
            <w:r>
              <w:rPr>
                <w:b/>
                <w:sz w:val="24"/>
              </w:rPr>
              <w:t>Was</w:t>
            </w:r>
            <w:r>
              <w:rPr>
                <w:b/>
                <w:spacing w:val="-2"/>
                <w:sz w:val="24"/>
              </w:rPr>
              <w:t xml:space="preserve"> </w:t>
            </w:r>
            <w:r>
              <w:rPr>
                <w:b/>
                <w:sz w:val="24"/>
              </w:rPr>
              <w:t>consensus</w:t>
            </w:r>
            <w:r>
              <w:rPr>
                <w:b/>
                <w:spacing w:val="-2"/>
                <w:sz w:val="24"/>
              </w:rPr>
              <w:t xml:space="preserve"> </w:t>
            </w:r>
            <w:r>
              <w:rPr>
                <w:b/>
                <w:sz w:val="24"/>
              </w:rPr>
              <w:t>on</w:t>
            </w:r>
            <w:r>
              <w:rPr>
                <w:b/>
                <w:spacing w:val="-2"/>
                <w:sz w:val="24"/>
              </w:rPr>
              <w:t xml:space="preserve"> </w:t>
            </w:r>
            <w:r>
              <w:rPr>
                <w:b/>
                <w:sz w:val="24"/>
              </w:rPr>
              <w:t>the</w:t>
            </w:r>
            <w:r>
              <w:rPr>
                <w:b/>
                <w:spacing w:val="-3"/>
                <w:sz w:val="24"/>
              </w:rPr>
              <w:t xml:space="preserve"> </w:t>
            </w:r>
            <w:r>
              <w:rPr>
                <w:b/>
                <w:sz w:val="24"/>
              </w:rPr>
              <w:t>IFA</w:t>
            </w:r>
            <w:r>
              <w:rPr>
                <w:b/>
                <w:spacing w:val="-2"/>
                <w:sz w:val="24"/>
              </w:rPr>
              <w:t xml:space="preserve"> obtained?</w:t>
            </w:r>
          </w:p>
        </w:tc>
      </w:tr>
      <w:tr w:rsidR="00E41A5B" w14:paraId="365A97C3" w14:textId="77777777">
        <w:trPr>
          <w:trHeight w:val="762"/>
        </w:trPr>
        <w:tc>
          <w:tcPr>
            <w:tcW w:w="5110" w:type="dxa"/>
            <w:tcBorders>
              <w:top w:val="single" w:sz="2" w:space="0" w:color="00AF50"/>
              <w:left w:val="single" w:sz="2" w:space="0" w:color="00AF50"/>
              <w:bottom w:val="single" w:sz="2" w:space="0" w:color="ADAAAA"/>
              <w:right w:val="single" w:sz="4" w:space="0" w:color="FF0000"/>
            </w:tcBorders>
            <w:shd w:val="clear" w:color="auto" w:fill="E1EED9"/>
          </w:tcPr>
          <w:p w14:paraId="365A97C1" w14:textId="77777777" w:rsidR="00E41A5B" w:rsidRDefault="00DA7B02">
            <w:pPr>
              <w:pStyle w:val="TableParagraph"/>
              <w:ind w:left="1293" w:right="1288" w:firstLine="297"/>
              <w:rPr>
                <w:b/>
              </w:rPr>
            </w:pPr>
            <w:r>
              <w:rPr>
                <w:b/>
              </w:rPr>
              <w:t>Consensus Obtained Local</w:t>
            </w:r>
            <w:r>
              <w:rPr>
                <w:b/>
                <w:spacing w:val="-14"/>
              </w:rPr>
              <w:t xml:space="preserve"> </w:t>
            </w:r>
            <w:r>
              <w:rPr>
                <w:b/>
              </w:rPr>
              <w:t>Funding</w:t>
            </w:r>
            <w:r>
              <w:rPr>
                <w:b/>
                <w:spacing w:val="-14"/>
              </w:rPr>
              <w:t xml:space="preserve"> </w:t>
            </w:r>
            <w:r>
              <w:rPr>
                <w:b/>
              </w:rPr>
              <w:t>Mechanism</w:t>
            </w:r>
          </w:p>
        </w:tc>
        <w:tc>
          <w:tcPr>
            <w:tcW w:w="5681" w:type="dxa"/>
            <w:tcBorders>
              <w:top w:val="single" w:sz="4" w:space="0" w:color="FF0000"/>
              <w:left w:val="single" w:sz="4" w:space="0" w:color="FF0000"/>
              <w:bottom w:val="single" w:sz="2" w:space="0" w:color="ADAAAA"/>
              <w:right w:val="single" w:sz="4" w:space="0" w:color="FF0000"/>
            </w:tcBorders>
            <w:shd w:val="clear" w:color="auto" w:fill="FF8A8A"/>
          </w:tcPr>
          <w:p w14:paraId="365A97C2" w14:textId="77777777" w:rsidR="00E41A5B" w:rsidRDefault="00DA7B02">
            <w:pPr>
              <w:pStyle w:val="TableParagraph"/>
              <w:spacing w:line="254" w:lineRule="exact"/>
              <w:ind w:left="1715" w:right="1690" w:firstLine="110"/>
              <w:rPr>
                <w:b/>
              </w:rPr>
            </w:pPr>
            <w:r>
              <w:rPr>
                <w:b/>
              </w:rPr>
              <w:t>No Consensus Obtained</w:t>
            </w:r>
            <w:r>
              <w:rPr>
                <w:b/>
                <w:spacing w:val="-14"/>
              </w:rPr>
              <w:t xml:space="preserve"> </w:t>
            </w:r>
            <w:r>
              <w:rPr>
                <w:b/>
              </w:rPr>
              <w:t>State</w:t>
            </w:r>
            <w:r>
              <w:rPr>
                <w:b/>
                <w:spacing w:val="-14"/>
              </w:rPr>
              <w:t xml:space="preserve"> </w:t>
            </w:r>
            <w:r>
              <w:rPr>
                <w:b/>
              </w:rPr>
              <w:t xml:space="preserve">Funding </w:t>
            </w:r>
            <w:r>
              <w:rPr>
                <w:b/>
                <w:spacing w:val="-2"/>
              </w:rPr>
              <w:t>Mechanism</w:t>
            </w:r>
          </w:p>
        </w:tc>
      </w:tr>
      <w:tr w:rsidR="00E41A5B" w14:paraId="365A97C5" w14:textId="77777777">
        <w:trPr>
          <w:trHeight w:val="280"/>
        </w:trPr>
        <w:tc>
          <w:tcPr>
            <w:tcW w:w="10791" w:type="dxa"/>
            <w:gridSpan w:val="2"/>
            <w:tcBorders>
              <w:top w:val="single" w:sz="2" w:space="0" w:color="ADAAAA"/>
              <w:left w:val="single" w:sz="2" w:space="0" w:color="00AF50"/>
              <w:bottom w:val="single" w:sz="2" w:space="0" w:color="ADAAAA"/>
              <w:right w:val="single" w:sz="2" w:space="0" w:color="FF0000"/>
            </w:tcBorders>
            <w:shd w:val="clear" w:color="auto" w:fill="F1F1F1"/>
          </w:tcPr>
          <w:p w14:paraId="365A97C4" w14:textId="77777777" w:rsidR="00E41A5B" w:rsidRDefault="00DA7B02">
            <w:pPr>
              <w:pStyle w:val="TableParagraph"/>
              <w:spacing w:before="20" w:line="240" w:lineRule="exact"/>
              <w:ind w:left="746"/>
              <w:rPr>
                <w:i/>
              </w:rPr>
            </w:pPr>
            <w:r>
              <w:rPr>
                <w:i/>
              </w:rPr>
              <w:t>WIOA</w:t>
            </w:r>
            <w:r>
              <w:rPr>
                <w:i/>
                <w:spacing w:val="-3"/>
              </w:rPr>
              <w:t xml:space="preserve"> </w:t>
            </w:r>
            <w:r>
              <w:rPr>
                <w:i/>
              </w:rPr>
              <w:t>sec.</w:t>
            </w:r>
            <w:r>
              <w:rPr>
                <w:i/>
                <w:spacing w:val="-1"/>
              </w:rPr>
              <w:t xml:space="preserve"> </w:t>
            </w:r>
            <w:r>
              <w:rPr>
                <w:i/>
              </w:rPr>
              <w:t>121(h);</w:t>
            </w:r>
            <w:r>
              <w:rPr>
                <w:i/>
                <w:spacing w:val="-1"/>
              </w:rPr>
              <w:t xml:space="preserve"> </w:t>
            </w:r>
            <w:r>
              <w:rPr>
                <w:i/>
              </w:rPr>
              <w:t>20</w:t>
            </w:r>
            <w:r>
              <w:rPr>
                <w:i/>
                <w:spacing w:val="-1"/>
              </w:rPr>
              <w:t xml:space="preserve"> </w:t>
            </w:r>
            <w:r>
              <w:rPr>
                <w:i/>
              </w:rPr>
              <w:t>CFR</w:t>
            </w:r>
            <w:r>
              <w:rPr>
                <w:i/>
                <w:spacing w:val="-4"/>
              </w:rPr>
              <w:t xml:space="preserve"> </w:t>
            </w:r>
            <w:r>
              <w:rPr>
                <w:i/>
              </w:rPr>
              <w:t>678.715</w:t>
            </w:r>
            <w:r>
              <w:rPr>
                <w:i/>
                <w:spacing w:val="-2"/>
              </w:rPr>
              <w:t xml:space="preserve"> </w:t>
            </w:r>
            <w:r>
              <w:rPr>
                <w:i/>
              </w:rPr>
              <w:t>–</w:t>
            </w:r>
            <w:r>
              <w:rPr>
                <w:i/>
                <w:spacing w:val="-4"/>
              </w:rPr>
              <w:t xml:space="preserve"> </w:t>
            </w:r>
            <w:r>
              <w:rPr>
                <w:i/>
              </w:rPr>
              <w:t>678.745,</w:t>
            </w:r>
            <w:r>
              <w:rPr>
                <w:i/>
                <w:spacing w:val="-2"/>
              </w:rPr>
              <w:t xml:space="preserve"> </w:t>
            </w:r>
            <w:r>
              <w:rPr>
                <w:i/>
              </w:rPr>
              <w:t>34</w:t>
            </w:r>
            <w:r>
              <w:rPr>
                <w:i/>
                <w:spacing w:val="-1"/>
              </w:rPr>
              <w:t xml:space="preserve"> </w:t>
            </w:r>
            <w:r>
              <w:rPr>
                <w:i/>
              </w:rPr>
              <w:t>CFR</w:t>
            </w:r>
            <w:r>
              <w:rPr>
                <w:i/>
                <w:spacing w:val="-4"/>
              </w:rPr>
              <w:t xml:space="preserve"> </w:t>
            </w:r>
            <w:r>
              <w:rPr>
                <w:i/>
              </w:rPr>
              <w:t>361.715</w:t>
            </w:r>
            <w:r>
              <w:rPr>
                <w:i/>
                <w:spacing w:val="-2"/>
              </w:rPr>
              <w:t xml:space="preserve"> </w:t>
            </w:r>
            <w:r>
              <w:rPr>
                <w:i/>
              </w:rPr>
              <w:t>–</w:t>
            </w:r>
            <w:r>
              <w:rPr>
                <w:i/>
                <w:spacing w:val="-4"/>
              </w:rPr>
              <w:t xml:space="preserve"> </w:t>
            </w:r>
            <w:r>
              <w:rPr>
                <w:i/>
              </w:rPr>
              <w:t>361.745,</w:t>
            </w:r>
            <w:r>
              <w:rPr>
                <w:i/>
                <w:spacing w:val="-2"/>
              </w:rPr>
              <w:t xml:space="preserve"> </w:t>
            </w:r>
            <w:r>
              <w:rPr>
                <w:i/>
              </w:rPr>
              <w:t>and</w:t>
            </w:r>
            <w:r>
              <w:rPr>
                <w:i/>
                <w:spacing w:val="-1"/>
              </w:rPr>
              <w:t xml:space="preserve"> </w:t>
            </w:r>
            <w:r>
              <w:rPr>
                <w:i/>
              </w:rPr>
              <w:t>34</w:t>
            </w:r>
            <w:r>
              <w:rPr>
                <w:i/>
                <w:spacing w:val="-4"/>
              </w:rPr>
              <w:t xml:space="preserve"> </w:t>
            </w:r>
            <w:r>
              <w:rPr>
                <w:i/>
              </w:rPr>
              <w:t>CFR</w:t>
            </w:r>
            <w:r>
              <w:rPr>
                <w:i/>
                <w:spacing w:val="-3"/>
              </w:rPr>
              <w:t xml:space="preserve"> </w:t>
            </w:r>
            <w:r>
              <w:rPr>
                <w:i/>
              </w:rPr>
              <w:t>463.715</w:t>
            </w:r>
            <w:r>
              <w:rPr>
                <w:i/>
                <w:spacing w:val="-1"/>
              </w:rPr>
              <w:t xml:space="preserve"> </w:t>
            </w:r>
            <w:r>
              <w:rPr>
                <w:i/>
              </w:rPr>
              <w:t>–</w:t>
            </w:r>
            <w:r>
              <w:rPr>
                <w:i/>
                <w:spacing w:val="-4"/>
              </w:rPr>
              <w:t xml:space="preserve"> </w:t>
            </w:r>
            <w:r>
              <w:rPr>
                <w:i/>
                <w:spacing w:val="-2"/>
              </w:rPr>
              <w:t>463.745</w:t>
            </w:r>
          </w:p>
        </w:tc>
      </w:tr>
      <w:tr w:rsidR="00E41A5B" w14:paraId="365A97CE" w14:textId="77777777">
        <w:trPr>
          <w:trHeight w:val="2421"/>
        </w:trPr>
        <w:tc>
          <w:tcPr>
            <w:tcW w:w="5110" w:type="dxa"/>
            <w:tcBorders>
              <w:top w:val="single" w:sz="2" w:space="0" w:color="ADAAAA"/>
              <w:left w:val="single" w:sz="2" w:space="0" w:color="00AF50"/>
              <w:bottom w:val="single" w:sz="4" w:space="0" w:color="00AF50"/>
              <w:right w:val="single" w:sz="4" w:space="0" w:color="FF0000"/>
            </w:tcBorders>
          </w:tcPr>
          <w:p w14:paraId="365A97C6" w14:textId="77777777" w:rsidR="00E41A5B" w:rsidRDefault="00DA7B02">
            <w:pPr>
              <w:pStyle w:val="TableParagraph"/>
              <w:numPr>
                <w:ilvl w:val="0"/>
                <w:numId w:val="12"/>
              </w:numPr>
              <w:tabs>
                <w:tab w:val="left" w:pos="267"/>
              </w:tabs>
              <w:spacing w:before="32"/>
              <w:ind w:left="267" w:hanging="179"/>
            </w:pPr>
            <w:r>
              <w:t>Continue</w:t>
            </w:r>
            <w:r>
              <w:rPr>
                <w:spacing w:val="-4"/>
              </w:rPr>
              <w:t xml:space="preserve"> </w:t>
            </w:r>
            <w:r>
              <w:t>one-stop</w:t>
            </w:r>
            <w:r>
              <w:rPr>
                <w:spacing w:val="-4"/>
              </w:rPr>
              <w:t xml:space="preserve"> </w:t>
            </w:r>
            <w:r>
              <w:t>operations</w:t>
            </w:r>
            <w:r>
              <w:rPr>
                <w:spacing w:val="-4"/>
              </w:rPr>
              <w:t xml:space="preserve"> </w:t>
            </w:r>
            <w:r>
              <w:t>and</w:t>
            </w:r>
            <w:r>
              <w:rPr>
                <w:spacing w:val="-7"/>
              </w:rPr>
              <w:t xml:space="preserve"> </w:t>
            </w:r>
            <w:r>
              <w:t>service</w:t>
            </w:r>
            <w:r>
              <w:rPr>
                <w:spacing w:val="-12"/>
              </w:rPr>
              <w:t xml:space="preserve"> </w:t>
            </w:r>
            <w:r>
              <w:rPr>
                <w:spacing w:val="-2"/>
              </w:rPr>
              <w:t>delivery.</w:t>
            </w:r>
          </w:p>
          <w:p w14:paraId="365A97C7" w14:textId="77777777" w:rsidR="00E41A5B" w:rsidRDefault="00DA7B02">
            <w:pPr>
              <w:pStyle w:val="TableParagraph"/>
              <w:numPr>
                <w:ilvl w:val="0"/>
                <w:numId w:val="12"/>
              </w:numPr>
              <w:tabs>
                <w:tab w:val="left" w:pos="267"/>
              </w:tabs>
              <w:spacing w:before="40"/>
              <w:ind w:left="267" w:hanging="179"/>
            </w:pPr>
            <w:r>
              <w:t>Periodically</w:t>
            </w:r>
            <w:r>
              <w:rPr>
                <w:spacing w:val="-7"/>
              </w:rPr>
              <w:t xml:space="preserve"> </w:t>
            </w:r>
            <w:r>
              <w:t>reconcile</w:t>
            </w:r>
            <w:r>
              <w:rPr>
                <w:spacing w:val="-5"/>
              </w:rPr>
              <w:t xml:space="preserve"> </w:t>
            </w:r>
            <w:r>
              <w:t>IFA</w:t>
            </w:r>
            <w:r>
              <w:rPr>
                <w:spacing w:val="-5"/>
              </w:rPr>
              <w:t xml:space="preserve"> </w:t>
            </w:r>
            <w:r>
              <w:t>with</w:t>
            </w:r>
            <w:r>
              <w:rPr>
                <w:spacing w:val="-4"/>
              </w:rPr>
              <w:t xml:space="preserve"> </w:t>
            </w:r>
            <w:r>
              <w:t>actual</w:t>
            </w:r>
            <w:r>
              <w:rPr>
                <w:spacing w:val="-12"/>
              </w:rPr>
              <w:t xml:space="preserve"> </w:t>
            </w:r>
            <w:r>
              <w:rPr>
                <w:spacing w:val="-2"/>
              </w:rPr>
              <w:t>costs.</w:t>
            </w:r>
          </w:p>
          <w:p w14:paraId="365A97C8" w14:textId="77777777" w:rsidR="00E41A5B" w:rsidRDefault="00DA7B02">
            <w:pPr>
              <w:pStyle w:val="TableParagraph"/>
              <w:numPr>
                <w:ilvl w:val="0"/>
                <w:numId w:val="12"/>
              </w:numPr>
              <w:tabs>
                <w:tab w:val="left" w:pos="268"/>
              </w:tabs>
              <w:spacing w:before="37"/>
              <w:ind w:right="276"/>
            </w:pPr>
            <w:r>
              <w:t>Modify</w:t>
            </w:r>
            <w:r>
              <w:rPr>
                <w:spacing w:val="-7"/>
              </w:rPr>
              <w:t xml:space="preserve"> </w:t>
            </w:r>
            <w:r>
              <w:t>other</w:t>
            </w:r>
            <w:r>
              <w:rPr>
                <w:spacing w:val="-4"/>
              </w:rPr>
              <w:t xml:space="preserve"> </w:t>
            </w:r>
            <w:r>
              <w:t>costs,</w:t>
            </w:r>
            <w:r>
              <w:rPr>
                <w:spacing w:val="-5"/>
              </w:rPr>
              <w:t xml:space="preserve"> </w:t>
            </w:r>
            <w:r>
              <w:t>such</w:t>
            </w:r>
            <w:r>
              <w:rPr>
                <w:spacing w:val="-5"/>
              </w:rPr>
              <w:t xml:space="preserve"> </w:t>
            </w:r>
            <w:r>
              <w:t>as</w:t>
            </w:r>
            <w:r>
              <w:rPr>
                <w:spacing w:val="-6"/>
              </w:rPr>
              <w:t xml:space="preserve"> </w:t>
            </w:r>
            <w:r>
              <w:t>additional</w:t>
            </w:r>
            <w:r>
              <w:rPr>
                <w:spacing w:val="-6"/>
              </w:rPr>
              <w:t xml:space="preserve"> </w:t>
            </w:r>
            <w:r>
              <w:t>costs</w:t>
            </w:r>
            <w:r>
              <w:rPr>
                <w:spacing w:val="-5"/>
              </w:rPr>
              <w:t xml:space="preserve"> </w:t>
            </w:r>
            <w:r>
              <w:t>budget, and partner contributions, as appropriate.</w:t>
            </w:r>
          </w:p>
          <w:p w14:paraId="365A97C9" w14:textId="77777777" w:rsidR="00E41A5B" w:rsidRDefault="00DA7B02">
            <w:pPr>
              <w:pStyle w:val="TableParagraph"/>
              <w:numPr>
                <w:ilvl w:val="0"/>
                <w:numId w:val="12"/>
              </w:numPr>
              <w:tabs>
                <w:tab w:val="left" w:pos="267"/>
              </w:tabs>
              <w:spacing w:before="39"/>
              <w:ind w:left="267" w:hanging="179"/>
            </w:pPr>
            <w:r>
              <w:t>Modify</w:t>
            </w:r>
            <w:r>
              <w:rPr>
                <w:spacing w:val="-8"/>
              </w:rPr>
              <w:t xml:space="preserve"> </w:t>
            </w:r>
            <w:r>
              <w:t>allocation</w:t>
            </w:r>
            <w:r>
              <w:rPr>
                <w:spacing w:val="-2"/>
              </w:rPr>
              <w:t xml:space="preserve"> </w:t>
            </w:r>
            <w:r>
              <w:t>methods,</w:t>
            </w:r>
            <w:r>
              <w:rPr>
                <w:spacing w:val="-6"/>
              </w:rPr>
              <w:t xml:space="preserve"> </w:t>
            </w:r>
            <w:r>
              <w:t>if</w:t>
            </w:r>
            <w:r>
              <w:rPr>
                <w:spacing w:val="-12"/>
              </w:rPr>
              <w:t xml:space="preserve"> </w:t>
            </w:r>
            <w:r>
              <w:rPr>
                <w:spacing w:val="-2"/>
              </w:rPr>
              <w:t>necessary.</w:t>
            </w:r>
          </w:p>
        </w:tc>
        <w:tc>
          <w:tcPr>
            <w:tcW w:w="5681" w:type="dxa"/>
            <w:tcBorders>
              <w:top w:val="single" w:sz="2" w:space="0" w:color="ADAAAA"/>
              <w:left w:val="single" w:sz="4" w:space="0" w:color="FF0000"/>
              <w:bottom w:val="single" w:sz="4" w:space="0" w:color="FF0000"/>
              <w:right w:val="single" w:sz="4" w:space="0" w:color="FF0000"/>
            </w:tcBorders>
          </w:tcPr>
          <w:p w14:paraId="365A97CA" w14:textId="77777777" w:rsidR="00E41A5B" w:rsidRDefault="00DA7B02">
            <w:pPr>
              <w:pStyle w:val="TableParagraph"/>
              <w:numPr>
                <w:ilvl w:val="0"/>
                <w:numId w:val="11"/>
              </w:numPr>
              <w:tabs>
                <w:tab w:val="left" w:pos="268"/>
              </w:tabs>
              <w:spacing w:before="32"/>
              <w:ind w:right="480"/>
            </w:pPr>
            <w:r>
              <w:t>When local negotiations for PY 2017 (and subsequent PYs)</w:t>
            </w:r>
            <w:r>
              <w:rPr>
                <w:spacing w:val="-4"/>
              </w:rPr>
              <w:t xml:space="preserve"> </w:t>
            </w:r>
            <w:r>
              <w:t>are</w:t>
            </w:r>
            <w:r>
              <w:rPr>
                <w:spacing w:val="-4"/>
              </w:rPr>
              <w:t xml:space="preserve"> </w:t>
            </w:r>
            <w:r>
              <w:t>unable</w:t>
            </w:r>
            <w:r>
              <w:rPr>
                <w:spacing w:val="-4"/>
              </w:rPr>
              <w:t xml:space="preserve"> </w:t>
            </w:r>
            <w:r>
              <w:t>to</w:t>
            </w:r>
            <w:r>
              <w:rPr>
                <w:spacing w:val="-7"/>
              </w:rPr>
              <w:t xml:space="preserve"> </w:t>
            </w:r>
            <w:r>
              <w:t>reach</w:t>
            </w:r>
            <w:r>
              <w:rPr>
                <w:spacing w:val="-4"/>
              </w:rPr>
              <w:t xml:space="preserve"> </w:t>
            </w:r>
            <w:r>
              <w:t>consensus,</w:t>
            </w:r>
            <w:r>
              <w:rPr>
                <w:spacing w:val="-4"/>
              </w:rPr>
              <w:t xml:space="preserve"> </w:t>
            </w:r>
            <w:r>
              <w:t>notify</w:t>
            </w:r>
            <w:r>
              <w:rPr>
                <w:spacing w:val="-7"/>
              </w:rPr>
              <w:t xml:space="preserve"> </w:t>
            </w:r>
            <w:r>
              <w:t>Governor</w:t>
            </w:r>
            <w:r>
              <w:rPr>
                <w:spacing w:val="-4"/>
              </w:rPr>
              <w:t xml:space="preserve"> </w:t>
            </w:r>
            <w:r>
              <w:t>by deadline established in Governor’s guidance to trigger state funding mechanism</w:t>
            </w:r>
            <w:r>
              <w:rPr>
                <w:vertAlign w:val="superscript"/>
              </w:rPr>
              <w:t>1</w:t>
            </w:r>
            <w:r>
              <w:t>.</w:t>
            </w:r>
          </w:p>
          <w:p w14:paraId="365A97CB" w14:textId="77777777" w:rsidR="00E41A5B" w:rsidRDefault="00DA7B02">
            <w:pPr>
              <w:pStyle w:val="TableParagraph"/>
              <w:numPr>
                <w:ilvl w:val="0"/>
                <w:numId w:val="11"/>
              </w:numPr>
              <w:tabs>
                <w:tab w:val="left" w:pos="268"/>
              </w:tabs>
              <w:spacing w:before="39"/>
              <w:ind w:right="1505"/>
            </w:pPr>
            <w:r>
              <w:t>Once partner contributions are determined, periodically</w:t>
            </w:r>
            <w:r>
              <w:rPr>
                <w:spacing w:val="-9"/>
              </w:rPr>
              <w:t xml:space="preserve"> </w:t>
            </w:r>
            <w:r>
              <w:t>reconcile</w:t>
            </w:r>
            <w:r>
              <w:rPr>
                <w:spacing w:val="-7"/>
              </w:rPr>
              <w:t xml:space="preserve"> </w:t>
            </w:r>
            <w:r>
              <w:t>IFA</w:t>
            </w:r>
            <w:r>
              <w:rPr>
                <w:spacing w:val="-8"/>
              </w:rPr>
              <w:t xml:space="preserve"> </w:t>
            </w:r>
            <w:r>
              <w:t>with</w:t>
            </w:r>
            <w:r>
              <w:rPr>
                <w:spacing w:val="-7"/>
              </w:rPr>
              <w:t xml:space="preserve"> </w:t>
            </w:r>
            <w:r>
              <w:t>actual</w:t>
            </w:r>
            <w:r>
              <w:rPr>
                <w:spacing w:val="-12"/>
              </w:rPr>
              <w:t xml:space="preserve"> </w:t>
            </w:r>
            <w:r>
              <w:t>costs.</w:t>
            </w:r>
          </w:p>
          <w:p w14:paraId="365A97CC" w14:textId="77777777" w:rsidR="00E41A5B" w:rsidRDefault="00DA7B02">
            <w:pPr>
              <w:pStyle w:val="TableParagraph"/>
              <w:numPr>
                <w:ilvl w:val="0"/>
                <w:numId w:val="11"/>
              </w:numPr>
              <w:tabs>
                <w:tab w:val="left" w:pos="268"/>
              </w:tabs>
              <w:spacing w:before="41"/>
              <w:ind w:right="845"/>
            </w:pPr>
            <w:r>
              <w:t>Modify</w:t>
            </w:r>
            <w:r>
              <w:rPr>
                <w:spacing w:val="-7"/>
              </w:rPr>
              <w:t xml:space="preserve"> </w:t>
            </w:r>
            <w:r>
              <w:t>other</w:t>
            </w:r>
            <w:r>
              <w:rPr>
                <w:spacing w:val="-4"/>
              </w:rPr>
              <w:t xml:space="preserve"> </w:t>
            </w:r>
            <w:r>
              <w:t>costs,</w:t>
            </w:r>
            <w:r>
              <w:rPr>
                <w:spacing w:val="-5"/>
              </w:rPr>
              <w:t xml:space="preserve"> </w:t>
            </w:r>
            <w:r>
              <w:t>such</w:t>
            </w:r>
            <w:r>
              <w:rPr>
                <w:spacing w:val="-5"/>
              </w:rPr>
              <w:t xml:space="preserve"> </w:t>
            </w:r>
            <w:r>
              <w:t>as</w:t>
            </w:r>
            <w:r>
              <w:rPr>
                <w:spacing w:val="-6"/>
              </w:rPr>
              <w:t xml:space="preserve"> </w:t>
            </w:r>
            <w:r>
              <w:t>additional</w:t>
            </w:r>
            <w:r>
              <w:rPr>
                <w:spacing w:val="-6"/>
              </w:rPr>
              <w:t xml:space="preserve"> </w:t>
            </w:r>
            <w:r>
              <w:t>costs</w:t>
            </w:r>
            <w:r>
              <w:rPr>
                <w:spacing w:val="-5"/>
              </w:rPr>
              <w:t xml:space="preserve"> </w:t>
            </w:r>
            <w:r>
              <w:t>budget, and partner contributions, as appropriate.</w:t>
            </w:r>
          </w:p>
          <w:p w14:paraId="365A97CD" w14:textId="77777777" w:rsidR="00E41A5B" w:rsidRDefault="00DA7B02">
            <w:pPr>
              <w:pStyle w:val="TableParagraph"/>
              <w:numPr>
                <w:ilvl w:val="0"/>
                <w:numId w:val="11"/>
              </w:numPr>
              <w:tabs>
                <w:tab w:val="left" w:pos="267"/>
              </w:tabs>
              <w:spacing w:before="27" w:line="238" w:lineRule="exact"/>
              <w:ind w:left="267" w:hanging="179"/>
            </w:pPr>
            <w:r>
              <w:t>Modify</w:t>
            </w:r>
            <w:r>
              <w:rPr>
                <w:spacing w:val="-8"/>
              </w:rPr>
              <w:t xml:space="preserve"> </w:t>
            </w:r>
            <w:r>
              <w:t>allocation</w:t>
            </w:r>
            <w:r>
              <w:rPr>
                <w:spacing w:val="-2"/>
              </w:rPr>
              <w:t xml:space="preserve"> </w:t>
            </w:r>
            <w:r>
              <w:t>methods,</w:t>
            </w:r>
            <w:r>
              <w:rPr>
                <w:spacing w:val="-6"/>
              </w:rPr>
              <w:t xml:space="preserve"> </w:t>
            </w:r>
            <w:r>
              <w:t>if</w:t>
            </w:r>
            <w:r>
              <w:rPr>
                <w:spacing w:val="-12"/>
              </w:rPr>
              <w:t xml:space="preserve"> </w:t>
            </w:r>
            <w:r>
              <w:rPr>
                <w:spacing w:val="-2"/>
              </w:rPr>
              <w:t>necessary.</w:t>
            </w:r>
          </w:p>
        </w:tc>
      </w:tr>
    </w:tbl>
    <w:p w14:paraId="365A97CF" w14:textId="77777777" w:rsidR="00E41A5B" w:rsidRDefault="00E41A5B">
      <w:pPr>
        <w:pStyle w:val="BodyText"/>
        <w:spacing w:before="145"/>
        <w:jc w:val="left"/>
        <w:rPr>
          <w:rFonts w:ascii="Calibri"/>
          <w:b/>
          <w:sz w:val="28"/>
        </w:rPr>
      </w:pPr>
    </w:p>
    <w:p w14:paraId="365A97D0" w14:textId="77777777" w:rsidR="00E41A5B" w:rsidRDefault="00DA7B02">
      <w:pPr>
        <w:ind w:left="997"/>
        <w:rPr>
          <w:sz w:val="20"/>
        </w:rPr>
      </w:pPr>
      <w:r>
        <w:rPr>
          <w:sz w:val="20"/>
          <w:vertAlign w:val="superscript"/>
        </w:rPr>
        <w:t>1</w:t>
      </w:r>
      <w:r>
        <w:rPr>
          <w:spacing w:val="39"/>
          <w:sz w:val="20"/>
        </w:rPr>
        <w:t xml:space="preserve"> </w:t>
      </w:r>
      <w:r>
        <w:rPr>
          <w:sz w:val="20"/>
        </w:rPr>
        <w:t>For</w:t>
      </w:r>
      <w:r>
        <w:rPr>
          <w:spacing w:val="-4"/>
          <w:sz w:val="20"/>
        </w:rPr>
        <w:t xml:space="preserve"> </w:t>
      </w:r>
      <w:r>
        <w:rPr>
          <w:sz w:val="20"/>
        </w:rPr>
        <w:t>PY</w:t>
      </w:r>
      <w:r>
        <w:rPr>
          <w:spacing w:val="-7"/>
          <w:sz w:val="20"/>
        </w:rPr>
        <w:t xml:space="preserve"> </w:t>
      </w:r>
      <w:r>
        <w:rPr>
          <w:sz w:val="20"/>
        </w:rPr>
        <w:t>2016,</w:t>
      </w:r>
      <w:r>
        <w:rPr>
          <w:spacing w:val="-5"/>
          <w:sz w:val="20"/>
        </w:rPr>
        <w:t xml:space="preserve"> </w:t>
      </w:r>
      <w:r>
        <w:rPr>
          <w:sz w:val="20"/>
        </w:rPr>
        <w:t>continue</w:t>
      </w:r>
      <w:r>
        <w:rPr>
          <w:spacing w:val="-5"/>
          <w:sz w:val="20"/>
        </w:rPr>
        <w:t xml:space="preserve"> </w:t>
      </w:r>
      <w:r>
        <w:rPr>
          <w:sz w:val="20"/>
        </w:rPr>
        <w:t>one-stop</w:t>
      </w:r>
      <w:r>
        <w:rPr>
          <w:spacing w:val="-4"/>
          <w:sz w:val="20"/>
        </w:rPr>
        <w:t xml:space="preserve"> </w:t>
      </w:r>
      <w:r>
        <w:rPr>
          <w:sz w:val="20"/>
        </w:rPr>
        <w:t>operations</w:t>
      </w:r>
      <w:r>
        <w:rPr>
          <w:spacing w:val="-6"/>
          <w:sz w:val="20"/>
        </w:rPr>
        <w:t xml:space="preserve"> </w:t>
      </w:r>
      <w:r>
        <w:rPr>
          <w:sz w:val="20"/>
        </w:rPr>
        <w:t>and</w:t>
      </w:r>
      <w:r>
        <w:rPr>
          <w:spacing w:val="-5"/>
          <w:sz w:val="20"/>
        </w:rPr>
        <w:t xml:space="preserve"> </w:t>
      </w:r>
      <w:r>
        <w:rPr>
          <w:sz w:val="20"/>
        </w:rPr>
        <w:t>service</w:t>
      </w:r>
      <w:r>
        <w:rPr>
          <w:spacing w:val="-5"/>
          <w:sz w:val="20"/>
        </w:rPr>
        <w:t xml:space="preserve"> </w:t>
      </w:r>
      <w:r>
        <w:rPr>
          <w:sz w:val="20"/>
        </w:rPr>
        <w:t>delivery</w:t>
      </w:r>
      <w:r>
        <w:rPr>
          <w:spacing w:val="-9"/>
          <w:sz w:val="20"/>
        </w:rPr>
        <w:t xml:space="preserve"> </w:t>
      </w:r>
      <w:r>
        <w:rPr>
          <w:sz w:val="20"/>
        </w:rPr>
        <w:t>as</w:t>
      </w:r>
      <w:r>
        <w:rPr>
          <w:spacing w:val="-6"/>
          <w:sz w:val="20"/>
        </w:rPr>
        <w:t xml:space="preserve"> </w:t>
      </w:r>
      <w:r>
        <w:rPr>
          <w:sz w:val="20"/>
        </w:rPr>
        <w:t>long</w:t>
      </w:r>
      <w:r>
        <w:rPr>
          <w:spacing w:val="-6"/>
          <w:sz w:val="20"/>
        </w:rPr>
        <w:t xml:space="preserve"> </w:t>
      </w:r>
      <w:r>
        <w:rPr>
          <w:sz w:val="20"/>
        </w:rPr>
        <w:t>as</w:t>
      </w:r>
      <w:r>
        <w:rPr>
          <w:spacing w:val="-6"/>
          <w:sz w:val="20"/>
        </w:rPr>
        <w:t xml:space="preserve"> </w:t>
      </w:r>
      <w:r>
        <w:rPr>
          <w:sz w:val="20"/>
        </w:rPr>
        <w:t>possible,</w:t>
      </w:r>
      <w:r>
        <w:rPr>
          <w:spacing w:val="-4"/>
          <w:sz w:val="20"/>
        </w:rPr>
        <w:t xml:space="preserve"> </w:t>
      </w:r>
      <w:r>
        <w:rPr>
          <w:sz w:val="20"/>
        </w:rPr>
        <w:t>using</w:t>
      </w:r>
      <w:r>
        <w:rPr>
          <w:spacing w:val="-6"/>
          <w:sz w:val="20"/>
        </w:rPr>
        <w:t xml:space="preserve"> </w:t>
      </w:r>
      <w:r>
        <w:rPr>
          <w:sz w:val="20"/>
        </w:rPr>
        <w:t>processes</w:t>
      </w:r>
      <w:r>
        <w:rPr>
          <w:spacing w:val="-7"/>
          <w:sz w:val="20"/>
        </w:rPr>
        <w:t xml:space="preserve"> </w:t>
      </w:r>
      <w:r>
        <w:rPr>
          <w:sz w:val="20"/>
        </w:rPr>
        <w:t>established</w:t>
      </w:r>
      <w:r>
        <w:rPr>
          <w:spacing w:val="-1"/>
          <w:sz w:val="20"/>
        </w:rPr>
        <w:t xml:space="preserve"> </w:t>
      </w:r>
      <w:r>
        <w:rPr>
          <w:sz w:val="20"/>
        </w:rPr>
        <w:t>under</w:t>
      </w:r>
      <w:r>
        <w:rPr>
          <w:spacing w:val="-5"/>
          <w:sz w:val="20"/>
        </w:rPr>
        <w:t xml:space="preserve"> </w:t>
      </w:r>
      <w:r>
        <w:rPr>
          <w:spacing w:val="-4"/>
          <w:sz w:val="20"/>
        </w:rPr>
        <w:t>WIA.</w:t>
      </w:r>
    </w:p>
    <w:p w14:paraId="365A97D1" w14:textId="77777777" w:rsidR="00E41A5B" w:rsidRDefault="00E41A5B">
      <w:pPr>
        <w:rPr>
          <w:sz w:val="20"/>
        </w:rPr>
        <w:sectPr w:rsidR="00E41A5B">
          <w:footerReference w:type="default" r:id="rId8"/>
          <w:pgSz w:w="12240" w:h="15840"/>
          <w:pgMar w:top="340" w:right="80" w:bottom="1540" w:left="140" w:header="0" w:footer="1345" w:gutter="0"/>
          <w:cols w:space="720"/>
        </w:sectPr>
      </w:pPr>
    </w:p>
    <w:p w14:paraId="365A97D2" w14:textId="77777777" w:rsidR="00E41A5B" w:rsidRDefault="00DA7B02">
      <w:pPr>
        <w:pStyle w:val="Heading2"/>
        <w:spacing w:before="39"/>
        <w:ind w:left="292"/>
        <w:rPr>
          <w:rFonts w:ascii="Calibri"/>
        </w:rPr>
      </w:pPr>
      <w:r>
        <w:rPr>
          <w:rFonts w:ascii="Calibri"/>
        </w:rPr>
        <w:lastRenderedPageBreak/>
        <w:t>Types</w:t>
      </w:r>
      <w:r>
        <w:rPr>
          <w:rFonts w:ascii="Calibri"/>
          <w:spacing w:val="-3"/>
        </w:rPr>
        <w:t xml:space="preserve"> </w:t>
      </w:r>
      <w:r>
        <w:rPr>
          <w:rFonts w:ascii="Calibri"/>
        </w:rPr>
        <w:t>of</w:t>
      </w:r>
      <w:r>
        <w:rPr>
          <w:rFonts w:ascii="Calibri"/>
          <w:spacing w:val="-3"/>
        </w:rPr>
        <w:t xml:space="preserve"> </w:t>
      </w:r>
      <w:r>
        <w:rPr>
          <w:rFonts w:ascii="Calibri"/>
        </w:rPr>
        <w:t>One-Stop</w:t>
      </w:r>
      <w:r>
        <w:rPr>
          <w:rFonts w:ascii="Calibri"/>
          <w:spacing w:val="-3"/>
        </w:rPr>
        <w:t xml:space="preserve"> </w:t>
      </w:r>
      <w:r>
        <w:rPr>
          <w:rFonts w:ascii="Calibri"/>
        </w:rPr>
        <w:t>Delivery</w:t>
      </w:r>
      <w:r>
        <w:rPr>
          <w:rFonts w:ascii="Calibri"/>
          <w:spacing w:val="-3"/>
        </w:rPr>
        <w:t xml:space="preserve"> </w:t>
      </w:r>
      <w:r>
        <w:rPr>
          <w:rFonts w:ascii="Calibri"/>
        </w:rPr>
        <w:t>System</w:t>
      </w:r>
      <w:r>
        <w:rPr>
          <w:rFonts w:ascii="Calibri"/>
          <w:spacing w:val="-2"/>
        </w:rPr>
        <w:t xml:space="preserve"> Costs</w:t>
      </w:r>
    </w:p>
    <w:p w14:paraId="365A97D3" w14:textId="77777777" w:rsidR="00E41A5B" w:rsidRDefault="00E41A5B">
      <w:pPr>
        <w:pStyle w:val="BodyText"/>
        <w:jc w:val="left"/>
        <w:rPr>
          <w:rFonts w:ascii="Calibri"/>
          <w:b/>
          <w:sz w:val="20"/>
        </w:rPr>
      </w:pPr>
    </w:p>
    <w:p w14:paraId="365A97D4" w14:textId="77777777" w:rsidR="00E41A5B" w:rsidRDefault="00E41A5B">
      <w:pPr>
        <w:pStyle w:val="BodyText"/>
        <w:spacing w:before="33"/>
        <w:jc w:val="left"/>
        <w:rPr>
          <w:rFonts w:ascii="Calibri"/>
          <w:b/>
          <w:sz w:val="20"/>
        </w:rPr>
      </w:pPr>
    </w:p>
    <w:tbl>
      <w:tblPr>
        <w:tblW w:w="0" w:type="auto"/>
        <w:tblInd w:w="40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Layout w:type="fixed"/>
        <w:tblCellMar>
          <w:left w:w="0" w:type="dxa"/>
          <w:right w:w="0" w:type="dxa"/>
        </w:tblCellMar>
        <w:tblLook w:val="01E0" w:firstRow="1" w:lastRow="1" w:firstColumn="1" w:lastColumn="1" w:noHBand="0" w:noVBand="0"/>
      </w:tblPr>
      <w:tblGrid>
        <w:gridCol w:w="4403"/>
        <w:gridCol w:w="6388"/>
      </w:tblGrid>
      <w:tr w:rsidR="00E41A5B" w14:paraId="365A97D8" w14:textId="77777777">
        <w:trPr>
          <w:trHeight w:val="520"/>
        </w:trPr>
        <w:tc>
          <w:tcPr>
            <w:tcW w:w="4403" w:type="dxa"/>
            <w:tcBorders>
              <w:bottom w:val="nil"/>
              <w:right w:val="nil"/>
            </w:tcBorders>
            <w:shd w:val="clear" w:color="auto" w:fill="BFBFBF"/>
          </w:tcPr>
          <w:p w14:paraId="365A97D5" w14:textId="77777777" w:rsidR="00E41A5B" w:rsidRDefault="00DA7B02">
            <w:pPr>
              <w:pStyle w:val="TableParagraph"/>
              <w:spacing w:before="123"/>
              <w:rPr>
                <w:b/>
              </w:rPr>
            </w:pPr>
            <w:r>
              <w:rPr>
                <w:b/>
                <w:spacing w:val="-2"/>
              </w:rPr>
              <w:t>INFRASTRUCTURE</w:t>
            </w:r>
            <w:r>
              <w:rPr>
                <w:b/>
                <w:spacing w:val="9"/>
              </w:rPr>
              <w:t xml:space="preserve"> </w:t>
            </w:r>
            <w:r>
              <w:rPr>
                <w:b/>
                <w:spacing w:val="-2"/>
              </w:rPr>
              <w:t>COSTS</w:t>
            </w:r>
          </w:p>
        </w:tc>
        <w:tc>
          <w:tcPr>
            <w:tcW w:w="6388" w:type="dxa"/>
            <w:tcBorders>
              <w:left w:val="nil"/>
              <w:bottom w:val="nil"/>
            </w:tcBorders>
            <w:shd w:val="clear" w:color="auto" w:fill="BFBFBF"/>
          </w:tcPr>
          <w:p w14:paraId="365A97D6" w14:textId="77777777" w:rsidR="00E41A5B" w:rsidRDefault="00DA7B02">
            <w:pPr>
              <w:pStyle w:val="TableParagraph"/>
              <w:spacing w:line="245" w:lineRule="exact"/>
              <w:ind w:left="0" w:right="96"/>
              <w:jc w:val="right"/>
              <w:rPr>
                <w:i/>
              </w:rPr>
            </w:pPr>
            <w:r>
              <w:rPr>
                <w:i/>
              </w:rPr>
              <w:t>WIOA</w:t>
            </w:r>
            <w:r>
              <w:rPr>
                <w:i/>
                <w:spacing w:val="-5"/>
              </w:rPr>
              <w:t xml:space="preserve"> </w:t>
            </w:r>
            <w:r>
              <w:rPr>
                <w:i/>
              </w:rPr>
              <w:t>sec.</w:t>
            </w:r>
            <w:r>
              <w:rPr>
                <w:i/>
                <w:spacing w:val="-3"/>
              </w:rPr>
              <w:t xml:space="preserve"> </w:t>
            </w:r>
            <w:r>
              <w:rPr>
                <w:i/>
              </w:rPr>
              <w:t>121(h)(4);</w:t>
            </w:r>
            <w:r>
              <w:rPr>
                <w:i/>
                <w:spacing w:val="-3"/>
              </w:rPr>
              <w:t xml:space="preserve"> </w:t>
            </w:r>
            <w:r>
              <w:rPr>
                <w:i/>
              </w:rPr>
              <w:t>20</w:t>
            </w:r>
            <w:r>
              <w:rPr>
                <w:i/>
                <w:spacing w:val="-3"/>
              </w:rPr>
              <w:t xml:space="preserve"> </w:t>
            </w:r>
            <w:r>
              <w:rPr>
                <w:i/>
              </w:rPr>
              <w:t>CFR</w:t>
            </w:r>
            <w:r>
              <w:rPr>
                <w:i/>
                <w:spacing w:val="-5"/>
              </w:rPr>
              <w:t xml:space="preserve"> </w:t>
            </w:r>
            <w:r>
              <w:rPr>
                <w:i/>
              </w:rPr>
              <w:t>678.700(a)-(b),</w:t>
            </w:r>
            <w:r>
              <w:rPr>
                <w:i/>
                <w:spacing w:val="-3"/>
              </w:rPr>
              <w:t xml:space="preserve"> </w:t>
            </w:r>
            <w:r>
              <w:rPr>
                <w:i/>
              </w:rPr>
              <w:t>34</w:t>
            </w:r>
            <w:r>
              <w:rPr>
                <w:i/>
                <w:spacing w:val="-3"/>
              </w:rPr>
              <w:t xml:space="preserve"> </w:t>
            </w:r>
            <w:r>
              <w:rPr>
                <w:i/>
                <w:spacing w:val="-5"/>
              </w:rPr>
              <w:t>CFR</w:t>
            </w:r>
          </w:p>
          <w:p w14:paraId="365A97D7" w14:textId="77777777" w:rsidR="00E41A5B" w:rsidRDefault="00DA7B02">
            <w:pPr>
              <w:pStyle w:val="TableParagraph"/>
              <w:spacing w:line="251" w:lineRule="exact"/>
              <w:ind w:left="0" w:right="97"/>
              <w:jc w:val="right"/>
              <w:rPr>
                <w:i/>
              </w:rPr>
            </w:pPr>
            <w:r>
              <w:rPr>
                <w:i/>
              </w:rPr>
              <w:t>361.700(a)-(b),</w:t>
            </w:r>
            <w:r>
              <w:rPr>
                <w:i/>
                <w:spacing w:val="-6"/>
              </w:rPr>
              <w:t xml:space="preserve"> </w:t>
            </w:r>
            <w:r>
              <w:rPr>
                <w:i/>
              </w:rPr>
              <w:t>34</w:t>
            </w:r>
            <w:r>
              <w:rPr>
                <w:i/>
                <w:spacing w:val="-6"/>
              </w:rPr>
              <w:t xml:space="preserve"> </w:t>
            </w:r>
            <w:r>
              <w:rPr>
                <w:i/>
              </w:rPr>
              <w:t>CFR</w:t>
            </w:r>
            <w:r>
              <w:rPr>
                <w:i/>
                <w:spacing w:val="-6"/>
              </w:rPr>
              <w:t xml:space="preserve"> </w:t>
            </w:r>
            <w:r>
              <w:rPr>
                <w:i/>
              </w:rPr>
              <w:t>463.700(a)-</w:t>
            </w:r>
            <w:r>
              <w:rPr>
                <w:i/>
                <w:spacing w:val="-5"/>
              </w:rPr>
              <w:t>(b)</w:t>
            </w:r>
          </w:p>
        </w:tc>
      </w:tr>
      <w:tr w:rsidR="00E41A5B" w14:paraId="365A97E0" w14:textId="77777777">
        <w:trPr>
          <w:trHeight w:val="2289"/>
        </w:trPr>
        <w:tc>
          <w:tcPr>
            <w:tcW w:w="10791" w:type="dxa"/>
            <w:gridSpan w:val="2"/>
            <w:tcBorders>
              <w:top w:val="nil"/>
            </w:tcBorders>
          </w:tcPr>
          <w:p w14:paraId="365A97D9" w14:textId="77777777" w:rsidR="00E41A5B" w:rsidRDefault="00DA7B02">
            <w:pPr>
              <w:pStyle w:val="TableParagraph"/>
              <w:numPr>
                <w:ilvl w:val="0"/>
                <w:numId w:val="10"/>
              </w:numPr>
              <w:tabs>
                <w:tab w:val="left" w:pos="255"/>
              </w:tabs>
              <w:spacing w:before="6"/>
              <w:ind w:left="255" w:hanging="179"/>
            </w:pPr>
            <w:r>
              <w:t>Non-personnel</w:t>
            </w:r>
            <w:r>
              <w:rPr>
                <w:spacing w:val="-12"/>
              </w:rPr>
              <w:t xml:space="preserve"> </w:t>
            </w:r>
            <w:r>
              <w:rPr>
                <w:spacing w:val="-4"/>
              </w:rPr>
              <w:t>costs</w:t>
            </w:r>
          </w:p>
          <w:p w14:paraId="365A97DA" w14:textId="77777777" w:rsidR="00E41A5B" w:rsidRDefault="00DA7B02">
            <w:pPr>
              <w:pStyle w:val="TableParagraph"/>
              <w:numPr>
                <w:ilvl w:val="0"/>
                <w:numId w:val="10"/>
              </w:numPr>
              <w:tabs>
                <w:tab w:val="left" w:pos="255"/>
              </w:tabs>
              <w:spacing w:before="1"/>
              <w:ind w:left="255" w:hanging="179"/>
            </w:pPr>
            <w:r>
              <w:t>Costs</w:t>
            </w:r>
            <w:r>
              <w:rPr>
                <w:spacing w:val="-4"/>
              </w:rPr>
              <w:t xml:space="preserve"> </w:t>
            </w:r>
            <w:r>
              <w:t>necessary</w:t>
            </w:r>
            <w:r>
              <w:rPr>
                <w:spacing w:val="-6"/>
              </w:rPr>
              <w:t xml:space="preserve"> </w:t>
            </w:r>
            <w:r>
              <w:t>for</w:t>
            </w:r>
            <w:r>
              <w:rPr>
                <w:spacing w:val="-4"/>
              </w:rPr>
              <w:t xml:space="preserve"> </w:t>
            </w:r>
            <w:r>
              <w:t>the</w:t>
            </w:r>
            <w:r>
              <w:rPr>
                <w:spacing w:val="-3"/>
              </w:rPr>
              <w:t xml:space="preserve"> </w:t>
            </w:r>
            <w:r>
              <w:t>general</w:t>
            </w:r>
            <w:r>
              <w:rPr>
                <w:spacing w:val="-2"/>
              </w:rPr>
              <w:t xml:space="preserve"> </w:t>
            </w:r>
            <w:r>
              <w:t>operation</w:t>
            </w:r>
            <w:r>
              <w:rPr>
                <w:spacing w:val="-2"/>
              </w:rPr>
              <w:t xml:space="preserve"> </w:t>
            </w:r>
            <w:r>
              <w:t>of</w:t>
            </w:r>
            <w:r>
              <w:rPr>
                <w:spacing w:val="-5"/>
              </w:rPr>
              <w:t xml:space="preserve"> </w:t>
            </w:r>
            <w:r>
              <w:t>the</w:t>
            </w:r>
            <w:r>
              <w:rPr>
                <w:spacing w:val="-4"/>
              </w:rPr>
              <w:t xml:space="preserve"> </w:t>
            </w:r>
            <w:r>
              <w:t>one-stop</w:t>
            </w:r>
            <w:r>
              <w:rPr>
                <w:spacing w:val="-3"/>
              </w:rPr>
              <w:t xml:space="preserve"> </w:t>
            </w:r>
            <w:r>
              <w:t>center,</w:t>
            </w:r>
            <w:r>
              <w:rPr>
                <w:spacing w:val="-2"/>
              </w:rPr>
              <w:t xml:space="preserve"> </w:t>
            </w:r>
            <w:r>
              <w:t>including</w:t>
            </w:r>
            <w:r>
              <w:rPr>
                <w:spacing w:val="-6"/>
              </w:rPr>
              <w:t xml:space="preserve"> </w:t>
            </w:r>
            <w:r>
              <w:t>but</w:t>
            </w:r>
            <w:r>
              <w:rPr>
                <w:spacing w:val="-4"/>
              </w:rPr>
              <w:t xml:space="preserve"> </w:t>
            </w:r>
            <w:r>
              <w:t>not</w:t>
            </w:r>
            <w:r>
              <w:rPr>
                <w:spacing w:val="-4"/>
              </w:rPr>
              <w:t xml:space="preserve"> </w:t>
            </w:r>
            <w:r>
              <w:t>limited</w:t>
            </w:r>
            <w:r>
              <w:rPr>
                <w:spacing w:val="-25"/>
              </w:rPr>
              <w:t xml:space="preserve"> </w:t>
            </w:r>
            <w:r>
              <w:rPr>
                <w:spacing w:val="-5"/>
              </w:rPr>
              <w:t>to:</w:t>
            </w:r>
          </w:p>
          <w:p w14:paraId="365A97DB" w14:textId="77777777" w:rsidR="00E41A5B" w:rsidRDefault="00DA7B02">
            <w:pPr>
              <w:pStyle w:val="TableParagraph"/>
              <w:numPr>
                <w:ilvl w:val="1"/>
                <w:numId w:val="10"/>
              </w:numPr>
              <w:tabs>
                <w:tab w:val="left" w:pos="646"/>
              </w:tabs>
              <w:spacing w:before="1" w:line="252" w:lineRule="exact"/>
              <w:ind w:left="646" w:hanging="179"/>
            </w:pPr>
            <w:r>
              <w:t>Applicable</w:t>
            </w:r>
            <w:r>
              <w:rPr>
                <w:spacing w:val="-6"/>
              </w:rPr>
              <w:t xml:space="preserve"> </w:t>
            </w:r>
            <w:r>
              <w:t>facility</w:t>
            </w:r>
            <w:r>
              <w:rPr>
                <w:spacing w:val="-5"/>
              </w:rPr>
              <w:t xml:space="preserve"> </w:t>
            </w:r>
            <w:r>
              <w:t>costs</w:t>
            </w:r>
            <w:r>
              <w:rPr>
                <w:spacing w:val="-5"/>
              </w:rPr>
              <w:t xml:space="preserve"> </w:t>
            </w:r>
            <w:r>
              <w:t>(such</w:t>
            </w:r>
            <w:r>
              <w:rPr>
                <w:spacing w:val="-2"/>
              </w:rPr>
              <w:t xml:space="preserve"> </w:t>
            </w:r>
            <w:r>
              <w:t>as</w:t>
            </w:r>
            <w:r>
              <w:rPr>
                <w:spacing w:val="-4"/>
              </w:rPr>
              <w:t xml:space="preserve"> </w:t>
            </w:r>
            <w:r>
              <w:t>rent)</w:t>
            </w:r>
            <w:r>
              <w:rPr>
                <w:spacing w:val="-4"/>
              </w:rPr>
              <w:t xml:space="preserve"> </w:t>
            </w:r>
            <w:r>
              <w:t>including</w:t>
            </w:r>
            <w:r>
              <w:rPr>
                <w:spacing w:val="-6"/>
              </w:rPr>
              <w:t xml:space="preserve"> </w:t>
            </w:r>
            <w:r>
              <w:t>costs</w:t>
            </w:r>
            <w:r>
              <w:rPr>
                <w:spacing w:val="-4"/>
              </w:rPr>
              <w:t xml:space="preserve"> </w:t>
            </w:r>
            <w:r>
              <w:t>of</w:t>
            </w:r>
            <w:r>
              <w:rPr>
                <w:spacing w:val="-1"/>
              </w:rPr>
              <w:t xml:space="preserve"> </w:t>
            </w:r>
            <w:r>
              <w:t>utilities</w:t>
            </w:r>
            <w:r>
              <w:rPr>
                <w:spacing w:val="-2"/>
              </w:rPr>
              <w:t xml:space="preserve"> </w:t>
            </w:r>
            <w:r>
              <w:t>and</w:t>
            </w:r>
            <w:r>
              <w:rPr>
                <w:spacing w:val="-19"/>
              </w:rPr>
              <w:t xml:space="preserve"> </w:t>
            </w:r>
            <w:r>
              <w:rPr>
                <w:spacing w:val="-2"/>
              </w:rPr>
              <w:t>maintenance</w:t>
            </w:r>
          </w:p>
          <w:p w14:paraId="365A97DC" w14:textId="77777777" w:rsidR="00E41A5B" w:rsidRDefault="00DA7B02">
            <w:pPr>
              <w:pStyle w:val="TableParagraph"/>
              <w:numPr>
                <w:ilvl w:val="1"/>
                <w:numId w:val="10"/>
              </w:numPr>
              <w:tabs>
                <w:tab w:val="left" w:pos="646"/>
              </w:tabs>
              <w:spacing w:line="251" w:lineRule="exact"/>
              <w:ind w:left="646" w:hanging="179"/>
            </w:pPr>
            <w:r>
              <w:t>Equipment</w:t>
            </w:r>
            <w:r>
              <w:rPr>
                <w:spacing w:val="-7"/>
              </w:rPr>
              <w:t xml:space="preserve"> </w:t>
            </w:r>
            <w:r>
              <w:t>(including</w:t>
            </w:r>
            <w:r>
              <w:rPr>
                <w:spacing w:val="-8"/>
              </w:rPr>
              <w:t xml:space="preserve"> </w:t>
            </w:r>
            <w:r>
              <w:t>assessment-related</w:t>
            </w:r>
            <w:r>
              <w:rPr>
                <w:spacing w:val="-5"/>
              </w:rPr>
              <w:t xml:space="preserve"> </w:t>
            </w:r>
            <w:r>
              <w:t>products</w:t>
            </w:r>
            <w:r>
              <w:rPr>
                <w:spacing w:val="-6"/>
              </w:rPr>
              <w:t xml:space="preserve"> </w:t>
            </w:r>
            <w:r>
              <w:t>and</w:t>
            </w:r>
            <w:r>
              <w:rPr>
                <w:spacing w:val="-8"/>
              </w:rPr>
              <w:t xml:space="preserve"> </w:t>
            </w:r>
            <w:r>
              <w:t>assistive</w:t>
            </w:r>
            <w:r>
              <w:rPr>
                <w:spacing w:val="-5"/>
              </w:rPr>
              <w:t xml:space="preserve"> </w:t>
            </w:r>
            <w:r>
              <w:t>technology</w:t>
            </w:r>
            <w:r>
              <w:rPr>
                <w:spacing w:val="-8"/>
              </w:rPr>
              <w:t xml:space="preserve"> </w:t>
            </w:r>
            <w:r>
              <w:t>for</w:t>
            </w:r>
            <w:r>
              <w:rPr>
                <w:spacing w:val="-4"/>
              </w:rPr>
              <w:t xml:space="preserve"> </w:t>
            </w:r>
            <w:r>
              <w:t>individuals</w:t>
            </w:r>
            <w:r>
              <w:rPr>
                <w:spacing w:val="-4"/>
              </w:rPr>
              <w:t xml:space="preserve"> </w:t>
            </w:r>
            <w:r>
              <w:t>with</w:t>
            </w:r>
            <w:r>
              <w:rPr>
                <w:spacing w:val="-24"/>
              </w:rPr>
              <w:t xml:space="preserve"> </w:t>
            </w:r>
            <w:r>
              <w:rPr>
                <w:spacing w:val="-2"/>
              </w:rPr>
              <w:t>disabilities)</w:t>
            </w:r>
          </w:p>
          <w:p w14:paraId="365A97DD" w14:textId="77777777" w:rsidR="00E41A5B" w:rsidRDefault="00DA7B02">
            <w:pPr>
              <w:pStyle w:val="TableParagraph"/>
              <w:numPr>
                <w:ilvl w:val="1"/>
                <w:numId w:val="10"/>
              </w:numPr>
              <w:tabs>
                <w:tab w:val="left" w:pos="647"/>
              </w:tabs>
              <w:ind w:right="471"/>
            </w:pPr>
            <w:r>
              <w:t>Technology</w:t>
            </w:r>
            <w:r>
              <w:rPr>
                <w:spacing w:val="-3"/>
              </w:rPr>
              <w:t xml:space="preserve"> </w:t>
            </w:r>
            <w:r>
              <w:t>to facilitate</w:t>
            </w:r>
            <w:r>
              <w:rPr>
                <w:spacing w:val="-2"/>
              </w:rPr>
              <w:t xml:space="preserve"> </w:t>
            </w:r>
            <w:r>
              <w:t>access</w:t>
            </w:r>
            <w:r>
              <w:rPr>
                <w:spacing w:val="-2"/>
              </w:rPr>
              <w:t xml:space="preserve"> </w:t>
            </w:r>
            <w:r>
              <w:t>to the one-stop center,</w:t>
            </w:r>
            <w:r>
              <w:rPr>
                <w:spacing w:val="-3"/>
              </w:rPr>
              <w:t xml:space="preserve"> </w:t>
            </w:r>
            <w:r>
              <w:t>including</w:t>
            </w:r>
            <w:r>
              <w:rPr>
                <w:spacing w:val="-3"/>
              </w:rPr>
              <w:t xml:space="preserve"> </w:t>
            </w:r>
            <w:r>
              <w:t>technology</w:t>
            </w:r>
            <w:r>
              <w:rPr>
                <w:spacing w:val="-3"/>
              </w:rPr>
              <w:t xml:space="preserve"> </w:t>
            </w:r>
            <w:r>
              <w:t xml:space="preserve">used for the center’s </w:t>
            </w:r>
            <w:proofErr w:type="spellStart"/>
            <w:proofErr w:type="gramStart"/>
            <w:r>
              <w:t>planningand</w:t>
            </w:r>
            <w:proofErr w:type="spellEnd"/>
            <w:proofErr w:type="gramEnd"/>
            <w:r>
              <w:t xml:space="preserve"> outreach activities</w:t>
            </w:r>
          </w:p>
          <w:p w14:paraId="365A97DE" w14:textId="77777777" w:rsidR="00E41A5B" w:rsidRDefault="00DA7B02">
            <w:pPr>
              <w:pStyle w:val="TableParagraph"/>
              <w:numPr>
                <w:ilvl w:val="1"/>
                <w:numId w:val="10"/>
              </w:numPr>
              <w:tabs>
                <w:tab w:val="left" w:pos="646"/>
              </w:tabs>
              <w:ind w:left="646" w:hanging="179"/>
            </w:pPr>
            <w:r>
              <w:rPr>
                <w:u w:val="single"/>
              </w:rPr>
              <w:t>May</w:t>
            </w:r>
            <w:r>
              <w:rPr>
                <w:spacing w:val="-10"/>
              </w:rPr>
              <w:t xml:space="preserve"> </w:t>
            </w:r>
            <w:r>
              <w:t>consider</w:t>
            </w:r>
            <w:r>
              <w:rPr>
                <w:spacing w:val="-5"/>
              </w:rPr>
              <w:t xml:space="preserve"> </w:t>
            </w:r>
            <w:r>
              <w:t>common</w:t>
            </w:r>
            <w:r>
              <w:rPr>
                <w:spacing w:val="-3"/>
              </w:rPr>
              <w:t xml:space="preserve"> </w:t>
            </w:r>
            <w:r>
              <w:t>identifier</w:t>
            </w:r>
            <w:r>
              <w:rPr>
                <w:spacing w:val="-2"/>
              </w:rPr>
              <w:t xml:space="preserve"> </w:t>
            </w:r>
            <w:r>
              <w:t>costs</w:t>
            </w:r>
            <w:r>
              <w:rPr>
                <w:spacing w:val="-3"/>
              </w:rPr>
              <w:t xml:space="preserve"> </w:t>
            </w:r>
            <w:r>
              <w:t>as</w:t>
            </w:r>
            <w:r>
              <w:rPr>
                <w:spacing w:val="-5"/>
              </w:rPr>
              <w:t xml:space="preserve"> </w:t>
            </w:r>
            <w:r>
              <w:t>costs</w:t>
            </w:r>
            <w:r>
              <w:rPr>
                <w:spacing w:val="-3"/>
              </w:rPr>
              <w:t xml:space="preserve"> </w:t>
            </w:r>
            <w:r>
              <w:t>of</w:t>
            </w:r>
            <w:r>
              <w:rPr>
                <w:spacing w:val="-1"/>
              </w:rPr>
              <w:t xml:space="preserve"> </w:t>
            </w:r>
            <w:r>
              <w:t>one-stop</w:t>
            </w:r>
            <w:r>
              <w:rPr>
                <w:spacing w:val="-15"/>
              </w:rPr>
              <w:t xml:space="preserve"> </w:t>
            </w:r>
            <w:r>
              <w:rPr>
                <w:spacing w:val="-2"/>
              </w:rPr>
              <w:t>infrastructure</w:t>
            </w:r>
          </w:p>
          <w:p w14:paraId="365A97DF" w14:textId="77777777" w:rsidR="00E41A5B" w:rsidRDefault="00DA7B02">
            <w:pPr>
              <w:pStyle w:val="TableParagraph"/>
              <w:numPr>
                <w:ilvl w:val="1"/>
                <w:numId w:val="10"/>
              </w:numPr>
              <w:tabs>
                <w:tab w:val="left" w:pos="647"/>
              </w:tabs>
              <w:spacing w:line="250" w:lineRule="atLeast"/>
              <w:ind w:right="308"/>
            </w:pPr>
            <w:r>
              <w:rPr>
                <w:u w:val="single"/>
              </w:rPr>
              <w:t>May</w:t>
            </w:r>
            <w:r>
              <w:rPr>
                <w:spacing w:val="-3"/>
              </w:rPr>
              <w:t xml:space="preserve"> </w:t>
            </w:r>
            <w:r>
              <w:t>consider</w:t>
            </w:r>
            <w:r>
              <w:rPr>
                <w:spacing w:val="-2"/>
              </w:rPr>
              <w:t xml:space="preserve"> </w:t>
            </w:r>
            <w:r>
              <w:t>supplies as defined</w:t>
            </w:r>
            <w:r>
              <w:rPr>
                <w:spacing w:val="-3"/>
              </w:rPr>
              <w:t xml:space="preserve"> </w:t>
            </w:r>
            <w:r>
              <w:t>in the Uniform</w:t>
            </w:r>
            <w:r>
              <w:rPr>
                <w:spacing w:val="-4"/>
              </w:rPr>
              <w:t xml:space="preserve"> </w:t>
            </w:r>
            <w:r>
              <w:t>Guidance at 2 CFR</w:t>
            </w:r>
            <w:r>
              <w:rPr>
                <w:spacing w:val="-1"/>
              </w:rPr>
              <w:t xml:space="preserve"> </w:t>
            </w:r>
            <w:r>
              <w:t>200.94,</w:t>
            </w:r>
            <w:r>
              <w:rPr>
                <w:spacing w:val="-3"/>
              </w:rPr>
              <w:t xml:space="preserve"> </w:t>
            </w:r>
            <w:r>
              <w:t>to support</w:t>
            </w:r>
            <w:r>
              <w:rPr>
                <w:spacing w:val="-2"/>
              </w:rPr>
              <w:t xml:space="preserve"> </w:t>
            </w:r>
            <w:r>
              <w:t xml:space="preserve">the general </w:t>
            </w:r>
            <w:proofErr w:type="spellStart"/>
            <w:proofErr w:type="gramStart"/>
            <w:r>
              <w:t>operationof</w:t>
            </w:r>
            <w:proofErr w:type="spellEnd"/>
            <w:proofErr w:type="gramEnd"/>
            <w:r>
              <w:t xml:space="preserve"> the one-stop center.</w:t>
            </w:r>
          </w:p>
        </w:tc>
      </w:tr>
    </w:tbl>
    <w:p w14:paraId="365A97E1" w14:textId="77777777" w:rsidR="00E41A5B" w:rsidRDefault="00E41A5B">
      <w:pPr>
        <w:pStyle w:val="BodyText"/>
        <w:spacing w:before="7"/>
        <w:jc w:val="left"/>
        <w:rPr>
          <w:rFonts w:ascii="Calibri"/>
          <w:b/>
          <w:sz w:val="15"/>
        </w:rPr>
      </w:pPr>
    </w:p>
    <w:tbl>
      <w:tblPr>
        <w:tblW w:w="0" w:type="auto"/>
        <w:tblInd w:w="407" w:type="dxa"/>
        <w:tblLayout w:type="fixed"/>
        <w:tblCellMar>
          <w:left w:w="0" w:type="dxa"/>
          <w:right w:w="0" w:type="dxa"/>
        </w:tblCellMar>
        <w:tblLook w:val="01E0" w:firstRow="1" w:lastRow="1" w:firstColumn="1" w:lastColumn="1" w:noHBand="0" w:noVBand="0"/>
      </w:tblPr>
      <w:tblGrid>
        <w:gridCol w:w="5569"/>
        <w:gridCol w:w="5222"/>
      </w:tblGrid>
      <w:tr w:rsidR="00E41A5B" w14:paraId="365A97E6" w14:textId="77777777">
        <w:trPr>
          <w:trHeight w:val="758"/>
        </w:trPr>
        <w:tc>
          <w:tcPr>
            <w:tcW w:w="5569" w:type="dxa"/>
            <w:shd w:val="clear" w:color="auto" w:fill="BFBFBF"/>
          </w:tcPr>
          <w:p w14:paraId="365A97E2" w14:textId="77777777" w:rsidR="00E41A5B" w:rsidRDefault="00DA7B02">
            <w:pPr>
              <w:pStyle w:val="TableParagraph"/>
              <w:spacing w:before="15" w:line="251" w:lineRule="exact"/>
              <w:ind w:left="112"/>
              <w:rPr>
                <w:b/>
              </w:rPr>
            </w:pPr>
            <w:r>
              <w:rPr>
                <w:b/>
              </w:rPr>
              <w:t>ADDITIONAL</w:t>
            </w:r>
            <w:r>
              <w:rPr>
                <w:b/>
                <w:spacing w:val="-13"/>
              </w:rPr>
              <w:t xml:space="preserve"> </w:t>
            </w:r>
            <w:r>
              <w:rPr>
                <w:b/>
                <w:spacing w:val="-4"/>
              </w:rPr>
              <w:t>COSTS</w:t>
            </w:r>
          </w:p>
          <w:p w14:paraId="365A97E3" w14:textId="77777777" w:rsidR="00E41A5B" w:rsidRDefault="00DA7B02">
            <w:pPr>
              <w:pStyle w:val="TableParagraph"/>
              <w:ind w:left="112"/>
              <w:rPr>
                <w:i/>
                <w:sz w:val="20"/>
              </w:rPr>
            </w:pPr>
            <w:r>
              <w:rPr>
                <w:i/>
                <w:sz w:val="20"/>
              </w:rPr>
              <w:t>(Applicable</w:t>
            </w:r>
            <w:r>
              <w:rPr>
                <w:i/>
                <w:spacing w:val="-6"/>
                <w:sz w:val="20"/>
              </w:rPr>
              <w:t xml:space="preserve"> </w:t>
            </w:r>
            <w:r>
              <w:rPr>
                <w:i/>
                <w:sz w:val="20"/>
              </w:rPr>
              <w:t>career</w:t>
            </w:r>
            <w:r>
              <w:rPr>
                <w:i/>
                <w:spacing w:val="-7"/>
                <w:sz w:val="20"/>
              </w:rPr>
              <w:t xml:space="preserve"> </w:t>
            </w:r>
            <w:r>
              <w:rPr>
                <w:i/>
                <w:sz w:val="20"/>
              </w:rPr>
              <w:t>services,</w:t>
            </w:r>
            <w:r>
              <w:rPr>
                <w:i/>
                <w:spacing w:val="-6"/>
                <w:sz w:val="20"/>
              </w:rPr>
              <w:t xml:space="preserve"> </w:t>
            </w:r>
            <w:r>
              <w:rPr>
                <w:i/>
                <w:sz w:val="20"/>
              </w:rPr>
              <w:t>shared</w:t>
            </w:r>
            <w:r>
              <w:rPr>
                <w:i/>
                <w:spacing w:val="-6"/>
                <w:sz w:val="20"/>
              </w:rPr>
              <w:t xml:space="preserve"> </w:t>
            </w:r>
            <w:r>
              <w:rPr>
                <w:i/>
                <w:sz w:val="20"/>
              </w:rPr>
              <w:t>operating</w:t>
            </w:r>
            <w:r>
              <w:rPr>
                <w:i/>
                <w:spacing w:val="-6"/>
                <w:sz w:val="20"/>
              </w:rPr>
              <w:t xml:space="preserve"> </w:t>
            </w:r>
            <w:r>
              <w:rPr>
                <w:i/>
                <w:sz w:val="20"/>
              </w:rPr>
              <w:t>costs,</w:t>
            </w:r>
            <w:r>
              <w:rPr>
                <w:i/>
                <w:spacing w:val="-6"/>
                <w:sz w:val="20"/>
              </w:rPr>
              <w:t xml:space="preserve"> </w:t>
            </w:r>
            <w:r>
              <w:rPr>
                <w:i/>
                <w:sz w:val="20"/>
              </w:rPr>
              <w:t>and</w:t>
            </w:r>
            <w:r>
              <w:rPr>
                <w:i/>
                <w:spacing w:val="-7"/>
                <w:sz w:val="20"/>
              </w:rPr>
              <w:t xml:space="preserve"> </w:t>
            </w:r>
            <w:r>
              <w:rPr>
                <w:i/>
                <w:sz w:val="20"/>
              </w:rPr>
              <w:t xml:space="preserve">shared </w:t>
            </w:r>
            <w:r>
              <w:rPr>
                <w:i/>
                <w:spacing w:val="-2"/>
                <w:sz w:val="20"/>
              </w:rPr>
              <w:t>services)</w:t>
            </w:r>
          </w:p>
        </w:tc>
        <w:tc>
          <w:tcPr>
            <w:tcW w:w="5222" w:type="dxa"/>
            <w:shd w:val="clear" w:color="auto" w:fill="BFBFBF"/>
          </w:tcPr>
          <w:p w14:paraId="365A97E4" w14:textId="77777777" w:rsidR="00E41A5B" w:rsidRDefault="00DA7B02">
            <w:pPr>
              <w:pStyle w:val="TableParagraph"/>
              <w:spacing w:line="247" w:lineRule="exact"/>
              <w:ind w:left="0" w:right="101"/>
              <w:jc w:val="right"/>
              <w:rPr>
                <w:i/>
              </w:rPr>
            </w:pPr>
            <w:r>
              <w:rPr>
                <w:i/>
              </w:rPr>
              <w:t>WIOA</w:t>
            </w:r>
            <w:r>
              <w:rPr>
                <w:i/>
                <w:spacing w:val="-5"/>
              </w:rPr>
              <w:t xml:space="preserve"> </w:t>
            </w:r>
            <w:r>
              <w:rPr>
                <w:i/>
              </w:rPr>
              <w:t>sec.</w:t>
            </w:r>
            <w:r>
              <w:rPr>
                <w:i/>
                <w:spacing w:val="-3"/>
              </w:rPr>
              <w:t xml:space="preserve"> </w:t>
            </w:r>
            <w:r>
              <w:rPr>
                <w:i/>
              </w:rPr>
              <w:t>121(</w:t>
            </w:r>
            <w:proofErr w:type="spellStart"/>
            <w:r>
              <w:rPr>
                <w:i/>
              </w:rPr>
              <w:t>i</w:t>
            </w:r>
            <w:proofErr w:type="spellEnd"/>
            <w:r>
              <w:rPr>
                <w:i/>
              </w:rPr>
              <w:t>)(1);</w:t>
            </w:r>
            <w:r>
              <w:rPr>
                <w:i/>
                <w:spacing w:val="-2"/>
              </w:rPr>
              <w:t xml:space="preserve"> </w:t>
            </w:r>
            <w:r>
              <w:rPr>
                <w:i/>
              </w:rPr>
              <w:t>20</w:t>
            </w:r>
            <w:r>
              <w:rPr>
                <w:i/>
                <w:spacing w:val="-4"/>
              </w:rPr>
              <w:t xml:space="preserve"> </w:t>
            </w:r>
            <w:r>
              <w:rPr>
                <w:i/>
              </w:rPr>
              <w:t>CFR</w:t>
            </w:r>
            <w:r>
              <w:rPr>
                <w:i/>
                <w:spacing w:val="-4"/>
              </w:rPr>
              <w:t xml:space="preserve"> </w:t>
            </w:r>
            <w:r>
              <w:rPr>
                <w:i/>
              </w:rPr>
              <w:t>678.760(a)-(b),</w:t>
            </w:r>
            <w:r>
              <w:rPr>
                <w:i/>
                <w:spacing w:val="-3"/>
              </w:rPr>
              <w:t xml:space="preserve"> </w:t>
            </w:r>
            <w:r>
              <w:rPr>
                <w:i/>
              </w:rPr>
              <w:t>34</w:t>
            </w:r>
            <w:r>
              <w:rPr>
                <w:i/>
                <w:spacing w:val="-3"/>
              </w:rPr>
              <w:t xml:space="preserve"> </w:t>
            </w:r>
            <w:r>
              <w:rPr>
                <w:i/>
                <w:spacing w:val="-5"/>
              </w:rPr>
              <w:t>CFR</w:t>
            </w:r>
          </w:p>
          <w:p w14:paraId="365A97E5" w14:textId="77777777" w:rsidR="00E41A5B" w:rsidRDefault="00DA7B02">
            <w:pPr>
              <w:pStyle w:val="TableParagraph"/>
              <w:spacing w:line="251" w:lineRule="exact"/>
              <w:ind w:left="0" w:right="102"/>
              <w:jc w:val="right"/>
              <w:rPr>
                <w:i/>
              </w:rPr>
            </w:pPr>
            <w:r>
              <w:rPr>
                <w:i/>
              </w:rPr>
              <w:t>361.760(a)-(b),</w:t>
            </w:r>
            <w:r>
              <w:rPr>
                <w:i/>
                <w:spacing w:val="-6"/>
              </w:rPr>
              <w:t xml:space="preserve"> </w:t>
            </w:r>
            <w:r>
              <w:rPr>
                <w:i/>
              </w:rPr>
              <w:t>34</w:t>
            </w:r>
            <w:r>
              <w:rPr>
                <w:i/>
                <w:spacing w:val="-6"/>
              </w:rPr>
              <w:t xml:space="preserve"> </w:t>
            </w:r>
            <w:r>
              <w:rPr>
                <w:i/>
              </w:rPr>
              <w:t>CFR</w:t>
            </w:r>
            <w:r>
              <w:rPr>
                <w:i/>
                <w:spacing w:val="-6"/>
              </w:rPr>
              <w:t xml:space="preserve"> </w:t>
            </w:r>
            <w:r>
              <w:rPr>
                <w:i/>
              </w:rPr>
              <w:t>463.760(a)-</w:t>
            </w:r>
            <w:r>
              <w:rPr>
                <w:i/>
                <w:spacing w:val="-5"/>
              </w:rPr>
              <w:t>(b)</w:t>
            </w:r>
          </w:p>
        </w:tc>
      </w:tr>
      <w:tr w:rsidR="00E41A5B" w14:paraId="365A97EA" w14:textId="77777777">
        <w:trPr>
          <w:trHeight w:val="1535"/>
        </w:trPr>
        <w:tc>
          <w:tcPr>
            <w:tcW w:w="10791" w:type="dxa"/>
            <w:gridSpan w:val="2"/>
            <w:tcBorders>
              <w:left w:val="single" w:sz="4" w:space="0" w:color="BFBFBF"/>
              <w:bottom w:val="single" w:sz="4" w:space="0" w:color="BFBFBF"/>
              <w:right w:val="single" w:sz="4" w:space="0" w:color="BFBFBF"/>
            </w:tcBorders>
          </w:tcPr>
          <w:p w14:paraId="365A97E7" w14:textId="77777777" w:rsidR="00E41A5B" w:rsidRDefault="00DA7B02">
            <w:pPr>
              <w:pStyle w:val="TableParagraph"/>
              <w:numPr>
                <w:ilvl w:val="0"/>
                <w:numId w:val="9"/>
              </w:numPr>
              <w:tabs>
                <w:tab w:val="left" w:pos="256"/>
              </w:tabs>
              <w:spacing w:before="8"/>
              <w:ind w:right="462"/>
            </w:pPr>
            <w:r>
              <w:rPr>
                <w:u w:val="single"/>
              </w:rPr>
              <w:t>Must</w:t>
            </w:r>
            <w:r>
              <w:t xml:space="preserve"> include the costs of the provision of career services in WIOA sec. 134(c)(2) applicable to each program consistent</w:t>
            </w:r>
            <w:r>
              <w:rPr>
                <w:spacing w:val="-3"/>
              </w:rPr>
              <w:t xml:space="preserve"> </w:t>
            </w:r>
            <w:r>
              <w:t>with</w:t>
            </w:r>
            <w:r>
              <w:rPr>
                <w:spacing w:val="-6"/>
              </w:rPr>
              <w:t xml:space="preserve"> </w:t>
            </w:r>
            <w:r>
              <w:t>partner</w:t>
            </w:r>
            <w:r>
              <w:rPr>
                <w:spacing w:val="-2"/>
              </w:rPr>
              <w:t xml:space="preserve"> </w:t>
            </w:r>
            <w:r>
              <w:t>program’s</w:t>
            </w:r>
            <w:r>
              <w:rPr>
                <w:spacing w:val="-3"/>
              </w:rPr>
              <w:t xml:space="preserve"> </w:t>
            </w:r>
            <w:r>
              <w:t>authorizing</w:t>
            </w:r>
            <w:r>
              <w:rPr>
                <w:spacing w:val="-6"/>
              </w:rPr>
              <w:t xml:space="preserve"> </w:t>
            </w:r>
            <w:r>
              <w:t>Federal</w:t>
            </w:r>
            <w:r>
              <w:rPr>
                <w:spacing w:val="-5"/>
              </w:rPr>
              <w:t xml:space="preserve"> </w:t>
            </w:r>
            <w:r>
              <w:t>statutes</w:t>
            </w:r>
            <w:r>
              <w:rPr>
                <w:spacing w:val="-3"/>
              </w:rPr>
              <w:t xml:space="preserve"> </w:t>
            </w:r>
            <w:r>
              <w:t>and</w:t>
            </w:r>
            <w:r>
              <w:rPr>
                <w:spacing w:val="-3"/>
              </w:rPr>
              <w:t xml:space="preserve"> </w:t>
            </w:r>
            <w:r>
              <w:t>regulations,</w:t>
            </w:r>
            <w:r>
              <w:rPr>
                <w:spacing w:val="-3"/>
              </w:rPr>
              <w:t xml:space="preserve"> </w:t>
            </w:r>
            <w:r>
              <w:t>and</w:t>
            </w:r>
            <w:r>
              <w:rPr>
                <w:spacing w:val="-3"/>
              </w:rPr>
              <w:t xml:space="preserve"> </w:t>
            </w:r>
            <w:r>
              <w:t>allocable</w:t>
            </w:r>
            <w:r>
              <w:rPr>
                <w:spacing w:val="-5"/>
              </w:rPr>
              <w:t xml:space="preserve"> </w:t>
            </w:r>
            <w:r>
              <w:t>based</w:t>
            </w:r>
            <w:r>
              <w:rPr>
                <w:spacing w:val="-3"/>
              </w:rPr>
              <w:t xml:space="preserve"> </w:t>
            </w:r>
            <w:r>
              <w:t>on</w:t>
            </w:r>
            <w:r>
              <w:rPr>
                <w:spacing w:val="-3"/>
              </w:rPr>
              <w:t xml:space="preserve"> </w:t>
            </w:r>
            <w:r>
              <w:t>Federal</w:t>
            </w:r>
            <w:r>
              <w:rPr>
                <w:spacing w:val="-25"/>
              </w:rPr>
              <w:t xml:space="preserve"> </w:t>
            </w:r>
            <w:r>
              <w:t>cost principles in the Uniform Guidance at 2 CFR part</w:t>
            </w:r>
            <w:r>
              <w:rPr>
                <w:spacing w:val="-4"/>
              </w:rPr>
              <w:t xml:space="preserve"> </w:t>
            </w:r>
            <w:r>
              <w:t>200.</w:t>
            </w:r>
          </w:p>
          <w:p w14:paraId="365A97E8" w14:textId="77777777" w:rsidR="00E41A5B" w:rsidRDefault="00DA7B02">
            <w:pPr>
              <w:pStyle w:val="TableParagraph"/>
              <w:numPr>
                <w:ilvl w:val="0"/>
                <w:numId w:val="9"/>
              </w:numPr>
              <w:tabs>
                <w:tab w:val="left" w:pos="255"/>
              </w:tabs>
              <w:spacing w:line="252" w:lineRule="exact"/>
              <w:ind w:left="255" w:hanging="179"/>
            </w:pPr>
            <w:r>
              <w:rPr>
                <w:u w:val="single"/>
              </w:rPr>
              <w:t>May</w:t>
            </w:r>
            <w:r>
              <w:rPr>
                <w:spacing w:val="-9"/>
              </w:rPr>
              <w:t xml:space="preserve"> </w:t>
            </w:r>
            <w:r>
              <w:t>include</w:t>
            </w:r>
            <w:r>
              <w:rPr>
                <w:spacing w:val="-5"/>
              </w:rPr>
              <w:t xml:space="preserve"> </w:t>
            </w:r>
            <w:r>
              <w:t>shared</w:t>
            </w:r>
            <w:r>
              <w:rPr>
                <w:spacing w:val="-3"/>
              </w:rPr>
              <w:t xml:space="preserve"> </w:t>
            </w:r>
            <w:r>
              <w:t>operating</w:t>
            </w:r>
            <w:r>
              <w:rPr>
                <w:spacing w:val="-7"/>
              </w:rPr>
              <w:t xml:space="preserve"> </w:t>
            </w:r>
            <w:r>
              <w:t>costs</w:t>
            </w:r>
            <w:r>
              <w:rPr>
                <w:spacing w:val="-3"/>
              </w:rPr>
              <w:t xml:space="preserve"> </w:t>
            </w:r>
            <w:r>
              <w:t>and</w:t>
            </w:r>
            <w:r>
              <w:rPr>
                <w:spacing w:val="-4"/>
              </w:rPr>
              <w:t xml:space="preserve"> </w:t>
            </w:r>
            <w:r>
              <w:t>shared</w:t>
            </w:r>
            <w:r>
              <w:rPr>
                <w:spacing w:val="-3"/>
              </w:rPr>
              <w:t xml:space="preserve"> </w:t>
            </w:r>
            <w:r>
              <w:t>services</w:t>
            </w:r>
            <w:r>
              <w:rPr>
                <w:spacing w:val="-4"/>
              </w:rPr>
              <w:t xml:space="preserve"> </w:t>
            </w:r>
            <w:r>
              <w:t>that</w:t>
            </w:r>
            <w:r>
              <w:rPr>
                <w:spacing w:val="-2"/>
              </w:rPr>
              <w:t xml:space="preserve"> </w:t>
            </w:r>
            <w:r>
              <w:t>are</w:t>
            </w:r>
            <w:r>
              <w:rPr>
                <w:spacing w:val="-5"/>
              </w:rPr>
              <w:t xml:space="preserve"> </w:t>
            </w:r>
            <w:r>
              <w:t>authorized</w:t>
            </w:r>
            <w:r>
              <w:rPr>
                <w:spacing w:val="-4"/>
              </w:rPr>
              <w:t xml:space="preserve"> </w:t>
            </w:r>
            <w:r>
              <w:t>for,</w:t>
            </w:r>
            <w:r>
              <w:rPr>
                <w:spacing w:val="-3"/>
              </w:rPr>
              <w:t xml:space="preserve"> </w:t>
            </w:r>
            <w:r>
              <w:t>and</w:t>
            </w:r>
            <w:r>
              <w:rPr>
                <w:spacing w:val="-4"/>
              </w:rPr>
              <w:t xml:space="preserve"> </w:t>
            </w:r>
            <w:r>
              <w:t>may</w:t>
            </w:r>
            <w:r>
              <w:rPr>
                <w:spacing w:val="-6"/>
              </w:rPr>
              <w:t xml:space="preserve"> </w:t>
            </w:r>
            <w:r>
              <w:t>be</w:t>
            </w:r>
            <w:r>
              <w:rPr>
                <w:spacing w:val="-3"/>
              </w:rPr>
              <w:t xml:space="preserve"> </w:t>
            </w:r>
            <w:r>
              <w:t>commonly</w:t>
            </w:r>
            <w:r>
              <w:rPr>
                <w:spacing w:val="-26"/>
              </w:rPr>
              <w:t xml:space="preserve"> </w:t>
            </w:r>
            <w:r>
              <w:rPr>
                <w:spacing w:val="-2"/>
              </w:rPr>
              <w:t>provided</w:t>
            </w:r>
          </w:p>
          <w:p w14:paraId="365A97E9" w14:textId="77777777" w:rsidR="00E41A5B" w:rsidRDefault="00DA7B02">
            <w:pPr>
              <w:pStyle w:val="TableParagraph"/>
              <w:spacing w:line="252" w:lineRule="exact"/>
              <w:ind w:left="256" w:right="131"/>
            </w:pPr>
            <w:r>
              <w:t>through,</w:t>
            </w:r>
            <w:r>
              <w:rPr>
                <w:spacing w:val="-5"/>
              </w:rPr>
              <w:t xml:space="preserve"> </w:t>
            </w:r>
            <w:r>
              <w:t>the</w:t>
            </w:r>
            <w:r>
              <w:rPr>
                <w:spacing w:val="-2"/>
              </w:rPr>
              <w:t xml:space="preserve"> </w:t>
            </w:r>
            <w:r>
              <w:t>one-stop</w:t>
            </w:r>
            <w:r>
              <w:rPr>
                <w:spacing w:val="-2"/>
              </w:rPr>
              <w:t xml:space="preserve"> </w:t>
            </w:r>
            <w:r>
              <w:t>partner</w:t>
            </w:r>
            <w:r>
              <w:rPr>
                <w:spacing w:val="-1"/>
              </w:rPr>
              <w:t xml:space="preserve"> </w:t>
            </w:r>
            <w:r>
              <w:t>programs,</w:t>
            </w:r>
            <w:r>
              <w:rPr>
                <w:spacing w:val="-2"/>
              </w:rPr>
              <w:t xml:space="preserve"> </w:t>
            </w:r>
            <w:r>
              <w:t>including</w:t>
            </w:r>
            <w:r>
              <w:rPr>
                <w:spacing w:val="-5"/>
              </w:rPr>
              <w:t xml:space="preserve"> </w:t>
            </w:r>
            <w:r>
              <w:t>initial</w:t>
            </w:r>
            <w:r>
              <w:rPr>
                <w:spacing w:val="-1"/>
              </w:rPr>
              <w:t xml:space="preserve"> </w:t>
            </w:r>
            <w:r>
              <w:t>intake,</w:t>
            </w:r>
            <w:r>
              <w:rPr>
                <w:spacing w:val="-2"/>
              </w:rPr>
              <w:t xml:space="preserve"> </w:t>
            </w:r>
            <w:r>
              <w:t>assessment</w:t>
            </w:r>
            <w:r>
              <w:rPr>
                <w:spacing w:val="-1"/>
              </w:rPr>
              <w:t xml:space="preserve"> </w:t>
            </w:r>
            <w:r>
              <w:t>of</w:t>
            </w:r>
            <w:r>
              <w:rPr>
                <w:spacing w:val="-4"/>
              </w:rPr>
              <w:t xml:space="preserve"> </w:t>
            </w:r>
            <w:r>
              <w:t>needs,</w:t>
            </w:r>
            <w:r>
              <w:rPr>
                <w:spacing w:val="-2"/>
              </w:rPr>
              <w:t xml:space="preserve"> </w:t>
            </w:r>
            <w:r>
              <w:t>appraisal</w:t>
            </w:r>
            <w:r>
              <w:rPr>
                <w:spacing w:val="-1"/>
              </w:rPr>
              <w:t xml:space="preserve"> </w:t>
            </w:r>
            <w:r>
              <w:t>of</w:t>
            </w:r>
            <w:r>
              <w:rPr>
                <w:spacing w:val="-4"/>
              </w:rPr>
              <w:t xml:space="preserve"> </w:t>
            </w:r>
            <w:r>
              <w:t>basic</w:t>
            </w:r>
            <w:r>
              <w:rPr>
                <w:spacing w:val="-4"/>
              </w:rPr>
              <w:t xml:space="preserve"> </w:t>
            </w:r>
            <w:r>
              <w:t>skills, identification of appropriate services, referrals to other one-stop partners, and business services.</w:t>
            </w:r>
          </w:p>
        </w:tc>
      </w:tr>
    </w:tbl>
    <w:p w14:paraId="365A97EB" w14:textId="77777777" w:rsidR="00E41A5B" w:rsidRDefault="00E41A5B">
      <w:pPr>
        <w:pStyle w:val="BodyText"/>
        <w:spacing w:before="9" w:after="1"/>
        <w:jc w:val="left"/>
        <w:rPr>
          <w:rFonts w:ascii="Calibri"/>
          <w:b/>
          <w:sz w:val="15"/>
        </w:rPr>
      </w:pPr>
    </w:p>
    <w:tbl>
      <w:tblPr>
        <w:tblW w:w="0" w:type="auto"/>
        <w:tblInd w:w="40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0" w:type="dxa"/>
          <w:right w:w="0" w:type="dxa"/>
        </w:tblCellMar>
        <w:tblLook w:val="01E0" w:firstRow="1" w:lastRow="1" w:firstColumn="1" w:lastColumn="1" w:noHBand="0" w:noVBand="0"/>
      </w:tblPr>
      <w:tblGrid>
        <w:gridCol w:w="3235"/>
        <w:gridCol w:w="1825"/>
        <w:gridCol w:w="1775"/>
        <w:gridCol w:w="3955"/>
      </w:tblGrid>
      <w:tr w:rsidR="00E41A5B" w14:paraId="365A97EF" w14:textId="77777777">
        <w:trPr>
          <w:trHeight w:val="525"/>
        </w:trPr>
        <w:tc>
          <w:tcPr>
            <w:tcW w:w="5060" w:type="dxa"/>
            <w:gridSpan w:val="2"/>
            <w:tcBorders>
              <w:top w:val="nil"/>
              <w:left w:val="nil"/>
              <w:bottom w:val="nil"/>
              <w:right w:val="nil"/>
            </w:tcBorders>
            <w:shd w:val="clear" w:color="auto" w:fill="BFBFBF"/>
          </w:tcPr>
          <w:p w14:paraId="365A97EC" w14:textId="77777777" w:rsidR="00E41A5B" w:rsidRDefault="00DA7B02">
            <w:pPr>
              <w:pStyle w:val="TableParagraph"/>
              <w:spacing w:before="123"/>
              <w:ind w:left="112"/>
              <w:rPr>
                <w:b/>
              </w:rPr>
            </w:pPr>
            <w:r>
              <w:rPr>
                <w:b/>
                <w:spacing w:val="-2"/>
              </w:rPr>
              <w:t>INFRASTRUCTURE</w:t>
            </w:r>
            <w:r>
              <w:rPr>
                <w:b/>
                <w:spacing w:val="7"/>
              </w:rPr>
              <w:t xml:space="preserve"> </w:t>
            </w:r>
            <w:r>
              <w:rPr>
                <w:b/>
                <w:spacing w:val="-2"/>
              </w:rPr>
              <w:t>FUNDING</w:t>
            </w:r>
            <w:r>
              <w:rPr>
                <w:b/>
                <w:spacing w:val="7"/>
              </w:rPr>
              <w:t xml:space="preserve"> </w:t>
            </w:r>
            <w:r>
              <w:rPr>
                <w:b/>
                <w:spacing w:val="-4"/>
              </w:rPr>
              <w:t>TYPES</w:t>
            </w:r>
          </w:p>
        </w:tc>
        <w:tc>
          <w:tcPr>
            <w:tcW w:w="5730" w:type="dxa"/>
            <w:gridSpan w:val="2"/>
            <w:tcBorders>
              <w:top w:val="nil"/>
              <w:left w:val="nil"/>
              <w:bottom w:val="nil"/>
              <w:right w:val="nil"/>
            </w:tcBorders>
            <w:shd w:val="clear" w:color="auto" w:fill="BFBFBF"/>
          </w:tcPr>
          <w:p w14:paraId="365A97ED" w14:textId="77777777" w:rsidR="00E41A5B" w:rsidRDefault="00DA7B02">
            <w:pPr>
              <w:pStyle w:val="TableParagraph"/>
              <w:spacing w:line="247" w:lineRule="exact"/>
              <w:ind w:left="0" w:right="98"/>
              <w:jc w:val="right"/>
              <w:rPr>
                <w:i/>
              </w:rPr>
            </w:pPr>
            <w:r>
              <w:rPr>
                <w:i/>
              </w:rPr>
              <w:t>20</w:t>
            </w:r>
            <w:r>
              <w:rPr>
                <w:i/>
                <w:spacing w:val="-2"/>
              </w:rPr>
              <w:t xml:space="preserve"> </w:t>
            </w:r>
            <w:r>
              <w:rPr>
                <w:i/>
              </w:rPr>
              <w:t>CFR</w:t>
            </w:r>
            <w:r>
              <w:rPr>
                <w:i/>
                <w:spacing w:val="-3"/>
              </w:rPr>
              <w:t xml:space="preserve"> </w:t>
            </w:r>
            <w:r>
              <w:rPr>
                <w:i/>
              </w:rPr>
              <w:t>678.720</w:t>
            </w:r>
            <w:r>
              <w:rPr>
                <w:i/>
                <w:spacing w:val="-4"/>
              </w:rPr>
              <w:t xml:space="preserve"> </w:t>
            </w:r>
            <w:r>
              <w:rPr>
                <w:i/>
              </w:rPr>
              <w:t>and</w:t>
            </w:r>
            <w:r>
              <w:rPr>
                <w:i/>
                <w:spacing w:val="-2"/>
              </w:rPr>
              <w:t xml:space="preserve"> </w:t>
            </w:r>
            <w:r>
              <w:rPr>
                <w:i/>
              </w:rPr>
              <w:t>678.760,</w:t>
            </w:r>
            <w:r>
              <w:rPr>
                <w:i/>
                <w:spacing w:val="-2"/>
              </w:rPr>
              <w:t xml:space="preserve"> </w:t>
            </w:r>
            <w:r>
              <w:rPr>
                <w:i/>
              </w:rPr>
              <w:t>34</w:t>
            </w:r>
            <w:r>
              <w:rPr>
                <w:i/>
                <w:spacing w:val="-1"/>
              </w:rPr>
              <w:t xml:space="preserve"> </w:t>
            </w:r>
            <w:r>
              <w:rPr>
                <w:i/>
              </w:rPr>
              <w:t>CFR</w:t>
            </w:r>
            <w:r>
              <w:rPr>
                <w:i/>
                <w:spacing w:val="-3"/>
              </w:rPr>
              <w:t xml:space="preserve"> </w:t>
            </w:r>
            <w:r>
              <w:rPr>
                <w:i/>
              </w:rPr>
              <w:t>361.720</w:t>
            </w:r>
            <w:r>
              <w:rPr>
                <w:i/>
                <w:spacing w:val="-1"/>
              </w:rPr>
              <w:t xml:space="preserve"> </w:t>
            </w:r>
            <w:r>
              <w:rPr>
                <w:i/>
                <w:spacing w:val="-5"/>
              </w:rPr>
              <w:t>and</w:t>
            </w:r>
          </w:p>
          <w:p w14:paraId="365A97EE" w14:textId="77777777" w:rsidR="00E41A5B" w:rsidRDefault="00DA7B02">
            <w:pPr>
              <w:pStyle w:val="TableParagraph"/>
              <w:spacing w:line="251" w:lineRule="exact"/>
              <w:ind w:left="0" w:right="96"/>
              <w:jc w:val="right"/>
              <w:rPr>
                <w:i/>
              </w:rPr>
            </w:pPr>
            <w:r>
              <w:rPr>
                <w:i/>
              </w:rPr>
              <w:t>361.760,</w:t>
            </w:r>
            <w:r>
              <w:rPr>
                <w:i/>
                <w:spacing w:val="-3"/>
              </w:rPr>
              <w:t xml:space="preserve"> </w:t>
            </w:r>
            <w:r>
              <w:rPr>
                <w:i/>
              </w:rPr>
              <w:t>34</w:t>
            </w:r>
            <w:r>
              <w:rPr>
                <w:i/>
                <w:spacing w:val="-2"/>
              </w:rPr>
              <w:t xml:space="preserve"> </w:t>
            </w:r>
            <w:r>
              <w:rPr>
                <w:i/>
              </w:rPr>
              <w:t>CFR</w:t>
            </w:r>
            <w:r>
              <w:rPr>
                <w:i/>
                <w:spacing w:val="-3"/>
              </w:rPr>
              <w:t xml:space="preserve"> </w:t>
            </w:r>
            <w:r>
              <w:rPr>
                <w:i/>
              </w:rPr>
              <w:t>463.720</w:t>
            </w:r>
            <w:r>
              <w:rPr>
                <w:i/>
                <w:spacing w:val="-2"/>
              </w:rPr>
              <w:t xml:space="preserve"> </w:t>
            </w:r>
            <w:r>
              <w:rPr>
                <w:i/>
              </w:rPr>
              <w:t>and</w:t>
            </w:r>
            <w:r>
              <w:rPr>
                <w:i/>
                <w:spacing w:val="-2"/>
              </w:rPr>
              <w:t xml:space="preserve"> 463.760</w:t>
            </w:r>
          </w:p>
        </w:tc>
      </w:tr>
      <w:tr w:rsidR="00E41A5B" w14:paraId="365A97F3" w14:textId="77777777">
        <w:trPr>
          <w:trHeight w:val="419"/>
        </w:trPr>
        <w:tc>
          <w:tcPr>
            <w:tcW w:w="3235" w:type="dxa"/>
            <w:tcBorders>
              <w:top w:val="nil"/>
            </w:tcBorders>
            <w:shd w:val="clear" w:color="auto" w:fill="F1F1F1"/>
          </w:tcPr>
          <w:p w14:paraId="365A97F0" w14:textId="77777777" w:rsidR="00E41A5B" w:rsidRDefault="00DA7B02">
            <w:pPr>
              <w:pStyle w:val="TableParagraph"/>
              <w:spacing w:before="92"/>
              <w:ind w:left="7"/>
              <w:jc w:val="center"/>
              <w:rPr>
                <w:b/>
              </w:rPr>
            </w:pPr>
            <w:r>
              <w:rPr>
                <w:b/>
                <w:spacing w:val="-4"/>
              </w:rPr>
              <w:t>Cash</w:t>
            </w:r>
          </w:p>
        </w:tc>
        <w:tc>
          <w:tcPr>
            <w:tcW w:w="3600" w:type="dxa"/>
            <w:gridSpan w:val="2"/>
            <w:tcBorders>
              <w:top w:val="nil"/>
            </w:tcBorders>
            <w:shd w:val="clear" w:color="auto" w:fill="F1F1F1"/>
          </w:tcPr>
          <w:p w14:paraId="365A97F1" w14:textId="77777777" w:rsidR="00E41A5B" w:rsidRDefault="00DA7B02">
            <w:pPr>
              <w:pStyle w:val="TableParagraph"/>
              <w:spacing w:before="92"/>
              <w:ind w:left="12"/>
              <w:jc w:val="center"/>
              <w:rPr>
                <w:b/>
              </w:rPr>
            </w:pPr>
            <w:r>
              <w:rPr>
                <w:b/>
                <w:spacing w:val="-2"/>
              </w:rPr>
              <w:t>Non-</w:t>
            </w:r>
            <w:r>
              <w:rPr>
                <w:b/>
                <w:spacing w:val="-4"/>
              </w:rPr>
              <w:t>Cash</w:t>
            </w:r>
          </w:p>
        </w:tc>
        <w:tc>
          <w:tcPr>
            <w:tcW w:w="3955" w:type="dxa"/>
            <w:tcBorders>
              <w:top w:val="nil"/>
            </w:tcBorders>
            <w:shd w:val="clear" w:color="auto" w:fill="F1F1F1"/>
          </w:tcPr>
          <w:p w14:paraId="365A97F2" w14:textId="77777777" w:rsidR="00E41A5B" w:rsidRDefault="00DA7B02">
            <w:pPr>
              <w:pStyle w:val="TableParagraph"/>
              <w:spacing w:before="92"/>
              <w:ind w:left="996"/>
              <w:rPr>
                <w:b/>
              </w:rPr>
            </w:pPr>
            <w:r>
              <w:rPr>
                <w:b/>
              </w:rPr>
              <w:t>Third-Party</w:t>
            </w:r>
            <w:r>
              <w:rPr>
                <w:b/>
                <w:spacing w:val="-14"/>
              </w:rPr>
              <w:t xml:space="preserve"> </w:t>
            </w:r>
            <w:r>
              <w:rPr>
                <w:b/>
              </w:rPr>
              <w:t>In-</w:t>
            </w:r>
            <w:r>
              <w:rPr>
                <w:b/>
                <w:spacing w:val="-4"/>
              </w:rPr>
              <w:t>Kind</w:t>
            </w:r>
          </w:p>
        </w:tc>
      </w:tr>
      <w:tr w:rsidR="00E41A5B" w14:paraId="365A97FA" w14:textId="77777777">
        <w:trPr>
          <w:trHeight w:val="3021"/>
        </w:trPr>
        <w:tc>
          <w:tcPr>
            <w:tcW w:w="3235" w:type="dxa"/>
          </w:tcPr>
          <w:p w14:paraId="365A97F4" w14:textId="77777777" w:rsidR="00E41A5B" w:rsidRDefault="00DA7B02">
            <w:pPr>
              <w:pStyle w:val="TableParagraph"/>
              <w:numPr>
                <w:ilvl w:val="0"/>
                <w:numId w:val="8"/>
              </w:numPr>
              <w:tabs>
                <w:tab w:val="left" w:pos="256"/>
              </w:tabs>
              <w:ind w:right="105"/>
            </w:pPr>
            <w:r>
              <w:t>Cash</w:t>
            </w:r>
            <w:r>
              <w:rPr>
                <w:spacing w:val="-5"/>
              </w:rPr>
              <w:t xml:space="preserve"> </w:t>
            </w:r>
            <w:r>
              <w:t>funds</w:t>
            </w:r>
            <w:r>
              <w:rPr>
                <w:spacing w:val="-5"/>
              </w:rPr>
              <w:t xml:space="preserve"> </w:t>
            </w:r>
            <w:r>
              <w:t>provided</w:t>
            </w:r>
            <w:r>
              <w:rPr>
                <w:spacing w:val="-8"/>
              </w:rPr>
              <w:t xml:space="preserve"> </w:t>
            </w:r>
            <w:r>
              <w:t>to</w:t>
            </w:r>
            <w:r>
              <w:rPr>
                <w:spacing w:val="-8"/>
              </w:rPr>
              <w:t xml:space="preserve"> </w:t>
            </w:r>
            <w:r>
              <w:t>the</w:t>
            </w:r>
            <w:r>
              <w:rPr>
                <w:spacing w:val="-7"/>
              </w:rPr>
              <w:t xml:space="preserve"> </w:t>
            </w:r>
            <w:r>
              <w:t>local board or its designee by one- stop partners, either directly or by</w:t>
            </w:r>
            <w:r>
              <w:rPr>
                <w:spacing w:val="-9"/>
              </w:rPr>
              <w:t xml:space="preserve"> </w:t>
            </w:r>
            <w:r>
              <w:t>an</w:t>
            </w:r>
            <w:r>
              <w:rPr>
                <w:spacing w:val="-6"/>
              </w:rPr>
              <w:t xml:space="preserve"> </w:t>
            </w:r>
            <w:r>
              <w:t>interagency</w:t>
            </w:r>
            <w:r>
              <w:rPr>
                <w:spacing w:val="-9"/>
              </w:rPr>
              <w:t xml:space="preserve"> </w:t>
            </w:r>
            <w:r>
              <w:t>transfer,</w:t>
            </w:r>
            <w:r>
              <w:rPr>
                <w:spacing w:val="-9"/>
              </w:rPr>
              <w:t xml:space="preserve"> </w:t>
            </w:r>
            <w:r>
              <w:t>or</w:t>
            </w:r>
            <w:r>
              <w:rPr>
                <w:spacing w:val="-5"/>
              </w:rPr>
              <w:t xml:space="preserve"> </w:t>
            </w:r>
            <w:r>
              <w:t>by a third party.</w:t>
            </w:r>
          </w:p>
        </w:tc>
        <w:tc>
          <w:tcPr>
            <w:tcW w:w="3600" w:type="dxa"/>
            <w:gridSpan w:val="2"/>
          </w:tcPr>
          <w:p w14:paraId="365A97F5" w14:textId="77777777" w:rsidR="00E41A5B" w:rsidRDefault="00DA7B02">
            <w:pPr>
              <w:pStyle w:val="TableParagraph"/>
              <w:numPr>
                <w:ilvl w:val="0"/>
                <w:numId w:val="7"/>
              </w:numPr>
              <w:tabs>
                <w:tab w:val="left" w:pos="256"/>
              </w:tabs>
              <w:ind w:right="302"/>
            </w:pPr>
            <w:r>
              <w:t>Expenditures</w:t>
            </w:r>
            <w:r>
              <w:rPr>
                <w:spacing w:val="-14"/>
              </w:rPr>
              <w:t xml:space="preserve"> </w:t>
            </w:r>
            <w:r>
              <w:t>incurred</w:t>
            </w:r>
            <w:r>
              <w:rPr>
                <w:spacing w:val="-14"/>
              </w:rPr>
              <w:t xml:space="preserve"> </w:t>
            </w:r>
            <w:r>
              <w:t>by</w:t>
            </w:r>
            <w:r>
              <w:rPr>
                <w:spacing w:val="-14"/>
              </w:rPr>
              <w:t xml:space="preserve"> </w:t>
            </w:r>
            <w:r>
              <w:t>one-stop partners on behalf of the one-stop center; and</w:t>
            </w:r>
          </w:p>
          <w:p w14:paraId="365A97F6" w14:textId="77777777" w:rsidR="00E41A5B" w:rsidRDefault="00DA7B02">
            <w:pPr>
              <w:pStyle w:val="TableParagraph"/>
              <w:numPr>
                <w:ilvl w:val="0"/>
                <w:numId w:val="7"/>
              </w:numPr>
              <w:tabs>
                <w:tab w:val="left" w:pos="256"/>
              </w:tabs>
              <w:ind w:right="224"/>
            </w:pPr>
            <w:r>
              <w:t>Non-cash</w:t>
            </w:r>
            <w:r>
              <w:rPr>
                <w:spacing w:val="-13"/>
              </w:rPr>
              <w:t xml:space="preserve"> </w:t>
            </w:r>
            <w:r>
              <w:t>contributions</w:t>
            </w:r>
            <w:r>
              <w:rPr>
                <w:spacing w:val="-9"/>
              </w:rPr>
              <w:t xml:space="preserve"> </w:t>
            </w:r>
            <w:r>
              <w:t>or</w:t>
            </w:r>
            <w:r>
              <w:rPr>
                <w:spacing w:val="-11"/>
              </w:rPr>
              <w:t xml:space="preserve"> </w:t>
            </w:r>
            <w:r>
              <w:t>goods</w:t>
            </w:r>
            <w:r>
              <w:rPr>
                <w:spacing w:val="-14"/>
              </w:rPr>
              <w:t xml:space="preserve"> </w:t>
            </w:r>
            <w:r>
              <w:t xml:space="preserve">or services contributed by a partner program and used by the one-stop </w:t>
            </w:r>
            <w:r>
              <w:rPr>
                <w:spacing w:val="-2"/>
              </w:rPr>
              <w:t>center.</w:t>
            </w:r>
          </w:p>
        </w:tc>
        <w:tc>
          <w:tcPr>
            <w:tcW w:w="3955" w:type="dxa"/>
          </w:tcPr>
          <w:p w14:paraId="365A97F7" w14:textId="77777777" w:rsidR="00E41A5B" w:rsidRDefault="00DA7B02">
            <w:pPr>
              <w:pStyle w:val="TableParagraph"/>
              <w:numPr>
                <w:ilvl w:val="0"/>
                <w:numId w:val="6"/>
              </w:numPr>
              <w:tabs>
                <w:tab w:val="left" w:pos="256"/>
              </w:tabs>
              <w:ind w:right="517"/>
            </w:pPr>
            <w:r>
              <w:t>Contributions of space, equipment, technology,</w:t>
            </w:r>
            <w:r>
              <w:rPr>
                <w:spacing w:val="-14"/>
              </w:rPr>
              <w:t xml:space="preserve"> </w:t>
            </w:r>
            <w:r>
              <w:t>non-personnel</w:t>
            </w:r>
            <w:r>
              <w:rPr>
                <w:spacing w:val="-14"/>
              </w:rPr>
              <w:t xml:space="preserve"> </w:t>
            </w:r>
            <w:r>
              <w:t xml:space="preserve">services, or other </w:t>
            </w:r>
            <w:proofErr w:type="gramStart"/>
            <w:r>
              <w:t>like items</w:t>
            </w:r>
            <w:proofErr w:type="gramEnd"/>
            <w:r>
              <w:t xml:space="preserve"> to support the infrastructure costs associated with one- stop operations, by a non-one- stop partner </w:t>
            </w:r>
            <w:proofErr w:type="gramStart"/>
            <w:r>
              <w:t>to</w:t>
            </w:r>
            <w:proofErr w:type="gramEnd"/>
            <w:r>
              <w:t>:</w:t>
            </w:r>
          </w:p>
          <w:p w14:paraId="365A97F8" w14:textId="77777777" w:rsidR="00E41A5B" w:rsidRDefault="00DA7B02">
            <w:pPr>
              <w:pStyle w:val="TableParagraph"/>
              <w:numPr>
                <w:ilvl w:val="1"/>
                <w:numId w:val="6"/>
              </w:numPr>
              <w:tabs>
                <w:tab w:val="left" w:pos="647"/>
              </w:tabs>
              <w:ind w:left="647" w:right="650"/>
            </w:pPr>
            <w:r>
              <w:t>Support</w:t>
            </w:r>
            <w:r>
              <w:rPr>
                <w:spacing w:val="-12"/>
              </w:rPr>
              <w:t xml:space="preserve"> </w:t>
            </w:r>
            <w:r>
              <w:t>the</w:t>
            </w:r>
            <w:r>
              <w:rPr>
                <w:spacing w:val="-8"/>
              </w:rPr>
              <w:t xml:space="preserve"> </w:t>
            </w:r>
            <w:r>
              <w:t>one-stop</w:t>
            </w:r>
            <w:r>
              <w:rPr>
                <w:spacing w:val="-11"/>
              </w:rPr>
              <w:t xml:space="preserve"> </w:t>
            </w:r>
            <w:r>
              <w:t>center</w:t>
            </w:r>
            <w:r>
              <w:rPr>
                <w:spacing w:val="-14"/>
              </w:rPr>
              <w:t xml:space="preserve"> </w:t>
            </w:r>
            <w:r>
              <w:t>in general; or</w:t>
            </w:r>
          </w:p>
          <w:p w14:paraId="365A97F9" w14:textId="77777777" w:rsidR="00E41A5B" w:rsidRDefault="00DA7B02">
            <w:pPr>
              <w:pStyle w:val="TableParagraph"/>
              <w:numPr>
                <w:ilvl w:val="1"/>
                <w:numId w:val="6"/>
              </w:numPr>
              <w:tabs>
                <w:tab w:val="left" w:pos="646"/>
                <w:tab w:val="left" w:pos="648"/>
              </w:tabs>
              <w:ind w:right="283" w:hanging="181"/>
            </w:pPr>
            <w:r>
              <w:t>Support</w:t>
            </w:r>
            <w:r>
              <w:rPr>
                <w:spacing w:val="-12"/>
              </w:rPr>
              <w:t xml:space="preserve"> </w:t>
            </w:r>
            <w:r>
              <w:t>the</w:t>
            </w:r>
            <w:r>
              <w:rPr>
                <w:spacing w:val="-9"/>
              </w:rPr>
              <w:t xml:space="preserve"> </w:t>
            </w:r>
            <w:r>
              <w:t>proportionate</w:t>
            </w:r>
            <w:r>
              <w:rPr>
                <w:spacing w:val="-9"/>
              </w:rPr>
              <w:t xml:space="preserve"> </w:t>
            </w:r>
            <w:r>
              <w:t>share</w:t>
            </w:r>
            <w:r>
              <w:rPr>
                <w:spacing w:val="-14"/>
              </w:rPr>
              <w:t xml:space="preserve"> </w:t>
            </w:r>
            <w:r>
              <w:t>of one-stop infrastructure costs of a specific partner.</w:t>
            </w:r>
          </w:p>
        </w:tc>
      </w:tr>
      <w:tr w:rsidR="00E41A5B" w14:paraId="365A97FD" w14:textId="77777777">
        <w:trPr>
          <w:trHeight w:val="1038"/>
        </w:trPr>
        <w:tc>
          <w:tcPr>
            <w:tcW w:w="3235" w:type="dxa"/>
          </w:tcPr>
          <w:p w14:paraId="365A97FB" w14:textId="77777777" w:rsidR="00E41A5B" w:rsidRDefault="00E41A5B">
            <w:pPr>
              <w:pStyle w:val="TableParagraph"/>
              <w:ind w:left="0"/>
              <w:rPr>
                <w:sz w:val="20"/>
              </w:rPr>
            </w:pPr>
          </w:p>
        </w:tc>
        <w:tc>
          <w:tcPr>
            <w:tcW w:w="7555" w:type="dxa"/>
            <w:gridSpan w:val="3"/>
          </w:tcPr>
          <w:p w14:paraId="365A97FC" w14:textId="77777777" w:rsidR="00E41A5B" w:rsidRDefault="00DA7B02">
            <w:pPr>
              <w:pStyle w:val="TableParagraph"/>
              <w:spacing w:before="135"/>
              <w:ind w:left="108" w:right="250"/>
            </w:pPr>
            <w:r>
              <w:t>Must</w:t>
            </w:r>
            <w:r>
              <w:rPr>
                <w:spacing w:val="-1"/>
              </w:rPr>
              <w:t xml:space="preserve"> </w:t>
            </w:r>
            <w:r>
              <w:t>be</w:t>
            </w:r>
            <w:r>
              <w:rPr>
                <w:spacing w:val="-2"/>
              </w:rPr>
              <w:t xml:space="preserve"> </w:t>
            </w:r>
            <w:r>
              <w:t>valued</w:t>
            </w:r>
            <w:r>
              <w:rPr>
                <w:spacing w:val="-2"/>
              </w:rPr>
              <w:t xml:space="preserve"> </w:t>
            </w:r>
            <w:proofErr w:type="gramStart"/>
            <w:r>
              <w:t>consistent</w:t>
            </w:r>
            <w:proofErr w:type="gramEnd"/>
            <w:r>
              <w:rPr>
                <w:spacing w:val="-4"/>
              </w:rPr>
              <w:t xml:space="preserve"> </w:t>
            </w:r>
            <w:proofErr w:type="gramStart"/>
            <w:r>
              <w:t>with</w:t>
            </w:r>
            <w:proofErr w:type="gramEnd"/>
            <w:r>
              <w:rPr>
                <w:spacing w:val="-2"/>
              </w:rPr>
              <w:t xml:space="preserve"> </w:t>
            </w:r>
            <w:r>
              <w:t>2</w:t>
            </w:r>
            <w:r>
              <w:rPr>
                <w:spacing w:val="-2"/>
              </w:rPr>
              <w:t xml:space="preserve"> </w:t>
            </w:r>
            <w:r>
              <w:t>CFR</w:t>
            </w:r>
            <w:r>
              <w:rPr>
                <w:spacing w:val="-3"/>
              </w:rPr>
              <w:t xml:space="preserve"> </w:t>
            </w:r>
            <w:r>
              <w:t>200.306</w:t>
            </w:r>
            <w:r>
              <w:rPr>
                <w:spacing w:val="-5"/>
              </w:rPr>
              <w:t xml:space="preserve"> </w:t>
            </w:r>
            <w:r>
              <w:t>to</w:t>
            </w:r>
            <w:r>
              <w:rPr>
                <w:spacing w:val="-2"/>
              </w:rPr>
              <w:t xml:space="preserve"> </w:t>
            </w:r>
            <w:r>
              <w:t>ensure</w:t>
            </w:r>
            <w:r>
              <w:rPr>
                <w:spacing w:val="-4"/>
              </w:rPr>
              <w:t xml:space="preserve"> </w:t>
            </w:r>
            <w:r>
              <w:t>they</w:t>
            </w:r>
            <w:r>
              <w:rPr>
                <w:spacing w:val="-5"/>
              </w:rPr>
              <w:t xml:space="preserve"> </w:t>
            </w:r>
            <w:r>
              <w:t>are</w:t>
            </w:r>
            <w:r>
              <w:rPr>
                <w:spacing w:val="-4"/>
              </w:rPr>
              <w:t xml:space="preserve"> </w:t>
            </w:r>
            <w:r>
              <w:t>fairly</w:t>
            </w:r>
            <w:r>
              <w:rPr>
                <w:spacing w:val="-5"/>
              </w:rPr>
              <w:t xml:space="preserve"> </w:t>
            </w:r>
            <w:r>
              <w:t>evaluated and meet the partners’ proportionate share. Partners must fairly value contributions on a periodic and annual basis.</w:t>
            </w:r>
          </w:p>
        </w:tc>
      </w:tr>
    </w:tbl>
    <w:p w14:paraId="365A97FE" w14:textId="77777777" w:rsidR="00E41A5B" w:rsidRDefault="00E41A5B">
      <w:pPr>
        <w:sectPr w:rsidR="00E41A5B">
          <w:pgSz w:w="12240" w:h="15840"/>
          <w:pgMar w:top="320" w:right="80" w:bottom="1540" w:left="140" w:header="0" w:footer="1345" w:gutter="0"/>
          <w:cols w:space="720"/>
        </w:sectPr>
      </w:pPr>
    </w:p>
    <w:p w14:paraId="365A97FF" w14:textId="77777777" w:rsidR="00E41A5B" w:rsidRDefault="00DA7B02">
      <w:pPr>
        <w:spacing w:before="39"/>
        <w:ind w:left="1697" w:right="1682"/>
        <w:jc w:val="center"/>
        <w:rPr>
          <w:rFonts w:ascii="Calibri"/>
          <w:b/>
          <w:sz w:val="24"/>
        </w:rPr>
      </w:pPr>
      <w:r>
        <w:rPr>
          <w:rFonts w:ascii="Calibri"/>
          <w:b/>
          <w:sz w:val="24"/>
        </w:rPr>
        <w:lastRenderedPageBreak/>
        <w:t>Attachment</w:t>
      </w:r>
      <w:r>
        <w:rPr>
          <w:rFonts w:ascii="Calibri"/>
          <w:b/>
          <w:spacing w:val="-5"/>
          <w:sz w:val="24"/>
        </w:rPr>
        <w:t xml:space="preserve"> </w:t>
      </w:r>
      <w:r>
        <w:rPr>
          <w:rFonts w:ascii="Calibri"/>
          <w:b/>
          <w:sz w:val="24"/>
        </w:rPr>
        <w:t>III:</w:t>
      </w:r>
      <w:r>
        <w:rPr>
          <w:rFonts w:ascii="Calibri"/>
          <w:b/>
          <w:spacing w:val="-5"/>
          <w:sz w:val="24"/>
        </w:rPr>
        <w:t xml:space="preserve"> </w:t>
      </w:r>
      <w:r>
        <w:rPr>
          <w:rFonts w:ascii="Calibri"/>
          <w:b/>
          <w:sz w:val="24"/>
        </w:rPr>
        <w:t>Infrastructure</w:t>
      </w:r>
      <w:r>
        <w:rPr>
          <w:rFonts w:ascii="Calibri"/>
          <w:b/>
          <w:spacing w:val="-4"/>
          <w:sz w:val="24"/>
        </w:rPr>
        <w:t xml:space="preserve"> </w:t>
      </w:r>
      <w:r>
        <w:rPr>
          <w:rFonts w:ascii="Calibri"/>
          <w:b/>
          <w:sz w:val="24"/>
        </w:rPr>
        <w:t>Costs:</w:t>
      </w:r>
      <w:r>
        <w:rPr>
          <w:rFonts w:ascii="Calibri"/>
          <w:b/>
          <w:spacing w:val="-4"/>
          <w:sz w:val="24"/>
        </w:rPr>
        <w:t xml:space="preserve"> </w:t>
      </w:r>
      <w:r>
        <w:rPr>
          <w:rFonts w:ascii="Calibri"/>
          <w:b/>
          <w:sz w:val="24"/>
        </w:rPr>
        <w:t>Funding</w:t>
      </w:r>
      <w:r>
        <w:rPr>
          <w:rFonts w:ascii="Calibri"/>
          <w:b/>
          <w:spacing w:val="-4"/>
          <w:sz w:val="24"/>
        </w:rPr>
        <w:t xml:space="preserve"> </w:t>
      </w:r>
      <w:r>
        <w:rPr>
          <w:rFonts w:ascii="Calibri"/>
          <w:b/>
          <w:spacing w:val="-2"/>
          <w:sz w:val="24"/>
        </w:rPr>
        <w:t>Sources</w:t>
      </w:r>
    </w:p>
    <w:p w14:paraId="365A9800" w14:textId="77777777" w:rsidR="00E41A5B" w:rsidRDefault="00E41A5B">
      <w:pPr>
        <w:pStyle w:val="BodyText"/>
        <w:spacing w:before="1"/>
        <w:jc w:val="left"/>
        <w:rPr>
          <w:rFonts w:ascii="Calibri"/>
          <w:b/>
          <w:sz w:val="20"/>
        </w:rPr>
      </w:pPr>
    </w:p>
    <w:tbl>
      <w:tblPr>
        <w:tblW w:w="0" w:type="auto"/>
        <w:tblInd w:w="117" w:type="dxa"/>
        <w:tblBorders>
          <w:top w:val="single" w:sz="4" w:space="0" w:color="9A9A9A"/>
          <w:left w:val="single" w:sz="4" w:space="0" w:color="9A9A9A"/>
          <w:bottom w:val="single" w:sz="4" w:space="0" w:color="9A9A9A"/>
          <w:right w:val="single" w:sz="4" w:space="0" w:color="9A9A9A"/>
          <w:insideH w:val="single" w:sz="4" w:space="0" w:color="9A9A9A"/>
          <w:insideV w:val="single" w:sz="4" w:space="0" w:color="9A9A9A"/>
        </w:tblBorders>
        <w:tblLayout w:type="fixed"/>
        <w:tblCellMar>
          <w:left w:w="0" w:type="dxa"/>
          <w:right w:w="0" w:type="dxa"/>
        </w:tblCellMar>
        <w:tblLook w:val="01E0" w:firstRow="1" w:lastRow="1" w:firstColumn="1" w:lastColumn="1" w:noHBand="0" w:noVBand="0"/>
      </w:tblPr>
      <w:tblGrid>
        <w:gridCol w:w="720"/>
        <w:gridCol w:w="5311"/>
        <w:gridCol w:w="1260"/>
        <w:gridCol w:w="1620"/>
        <w:gridCol w:w="1440"/>
        <w:gridCol w:w="1440"/>
      </w:tblGrid>
      <w:tr w:rsidR="00E41A5B" w14:paraId="365A980B" w14:textId="77777777">
        <w:trPr>
          <w:trHeight w:val="1151"/>
        </w:trPr>
        <w:tc>
          <w:tcPr>
            <w:tcW w:w="720" w:type="dxa"/>
            <w:tcBorders>
              <w:bottom w:val="single" w:sz="12" w:space="0" w:color="666666"/>
            </w:tcBorders>
            <w:shd w:val="clear" w:color="auto" w:fill="DADADA"/>
          </w:tcPr>
          <w:p w14:paraId="365A9801" w14:textId="77777777" w:rsidR="00E41A5B" w:rsidRDefault="00E41A5B">
            <w:pPr>
              <w:pStyle w:val="TableParagraph"/>
              <w:spacing w:before="214"/>
              <w:ind w:left="0"/>
              <w:rPr>
                <w:rFonts w:ascii="Calibri"/>
                <w:b/>
                <w:sz w:val="20"/>
              </w:rPr>
            </w:pPr>
          </w:p>
          <w:p w14:paraId="365A9802" w14:textId="77777777" w:rsidR="00E41A5B" w:rsidRDefault="00DA7B02">
            <w:pPr>
              <w:pStyle w:val="TableParagraph"/>
              <w:ind w:left="172"/>
              <w:rPr>
                <w:b/>
                <w:sz w:val="20"/>
              </w:rPr>
            </w:pPr>
            <w:r>
              <w:rPr>
                <w:b/>
                <w:spacing w:val="-4"/>
                <w:sz w:val="20"/>
              </w:rPr>
              <w:t>Dept.</w:t>
            </w:r>
          </w:p>
        </w:tc>
        <w:tc>
          <w:tcPr>
            <w:tcW w:w="5311" w:type="dxa"/>
            <w:tcBorders>
              <w:bottom w:val="single" w:sz="12" w:space="0" w:color="666666"/>
            </w:tcBorders>
            <w:shd w:val="clear" w:color="auto" w:fill="DADADA"/>
          </w:tcPr>
          <w:p w14:paraId="365A9803" w14:textId="77777777" w:rsidR="00E41A5B" w:rsidRDefault="00E41A5B">
            <w:pPr>
              <w:pStyle w:val="TableParagraph"/>
              <w:spacing w:before="212"/>
              <w:ind w:left="0"/>
              <w:rPr>
                <w:rFonts w:ascii="Calibri"/>
                <w:b/>
                <w:sz w:val="20"/>
              </w:rPr>
            </w:pPr>
          </w:p>
          <w:p w14:paraId="365A9804" w14:textId="77777777" w:rsidR="00E41A5B" w:rsidRDefault="00DA7B02">
            <w:pPr>
              <w:pStyle w:val="TableParagraph"/>
              <w:ind w:left="10"/>
              <w:jc w:val="center"/>
              <w:rPr>
                <w:b/>
                <w:sz w:val="20"/>
              </w:rPr>
            </w:pPr>
            <w:r>
              <w:rPr>
                <w:b/>
                <w:sz w:val="20"/>
              </w:rPr>
              <w:t>Partner</w:t>
            </w:r>
            <w:r>
              <w:rPr>
                <w:b/>
                <w:spacing w:val="-7"/>
                <w:sz w:val="20"/>
              </w:rPr>
              <w:t xml:space="preserve"> </w:t>
            </w:r>
            <w:r>
              <w:rPr>
                <w:b/>
                <w:spacing w:val="-2"/>
                <w:sz w:val="20"/>
              </w:rPr>
              <w:t>Program</w:t>
            </w:r>
          </w:p>
        </w:tc>
        <w:tc>
          <w:tcPr>
            <w:tcW w:w="1260" w:type="dxa"/>
            <w:tcBorders>
              <w:bottom w:val="single" w:sz="12" w:space="0" w:color="666666"/>
            </w:tcBorders>
            <w:shd w:val="clear" w:color="auto" w:fill="DADADA"/>
          </w:tcPr>
          <w:p w14:paraId="365A9805" w14:textId="77777777" w:rsidR="00E41A5B" w:rsidRDefault="00DA7B02">
            <w:pPr>
              <w:pStyle w:val="TableParagraph"/>
              <w:spacing w:before="226"/>
              <w:ind w:left="196" w:right="184" w:firstLine="4"/>
              <w:jc w:val="both"/>
              <w:rPr>
                <w:b/>
                <w:sz w:val="20"/>
              </w:rPr>
            </w:pPr>
            <w:r>
              <w:rPr>
                <w:b/>
                <w:spacing w:val="-2"/>
                <w:sz w:val="20"/>
              </w:rPr>
              <w:t xml:space="preserve">Required/ </w:t>
            </w:r>
            <w:r>
              <w:rPr>
                <w:b/>
                <w:spacing w:val="-6"/>
                <w:sz w:val="20"/>
              </w:rPr>
              <w:t xml:space="preserve">Additional </w:t>
            </w:r>
            <w:r>
              <w:rPr>
                <w:b/>
                <w:spacing w:val="-2"/>
                <w:sz w:val="20"/>
              </w:rPr>
              <w:t>Partner</w:t>
            </w:r>
          </w:p>
        </w:tc>
        <w:tc>
          <w:tcPr>
            <w:tcW w:w="1620" w:type="dxa"/>
            <w:tcBorders>
              <w:bottom w:val="single" w:sz="12" w:space="0" w:color="666666"/>
            </w:tcBorders>
            <w:shd w:val="clear" w:color="auto" w:fill="DADADA"/>
          </w:tcPr>
          <w:p w14:paraId="365A9806" w14:textId="77777777" w:rsidR="00E41A5B" w:rsidRDefault="00DA7B02">
            <w:pPr>
              <w:pStyle w:val="TableParagraph"/>
              <w:spacing w:before="110" w:line="228" w:lineRule="auto"/>
              <w:ind w:left="141" w:right="131"/>
              <w:jc w:val="center"/>
              <w:rPr>
                <w:b/>
                <w:sz w:val="20"/>
              </w:rPr>
            </w:pPr>
            <w:r>
              <w:rPr>
                <w:b/>
                <w:sz w:val="20"/>
              </w:rPr>
              <w:t>Admin.</w:t>
            </w:r>
            <w:r>
              <w:rPr>
                <w:b/>
                <w:spacing w:val="-13"/>
                <w:sz w:val="20"/>
              </w:rPr>
              <w:t xml:space="preserve"> </w:t>
            </w:r>
            <w:r>
              <w:rPr>
                <w:b/>
                <w:sz w:val="20"/>
              </w:rPr>
              <w:t xml:space="preserve">Funds to Pay for </w:t>
            </w:r>
            <w:r>
              <w:rPr>
                <w:b/>
                <w:spacing w:val="-2"/>
                <w:sz w:val="20"/>
              </w:rPr>
              <w:t>Infrastructure</w:t>
            </w:r>
          </w:p>
          <w:p w14:paraId="365A9807" w14:textId="77777777" w:rsidR="00E41A5B" w:rsidRDefault="00DA7B02">
            <w:pPr>
              <w:pStyle w:val="TableParagraph"/>
              <w:spacing w:before="41"/>
              <w:ind w:left="141" w:right="136"/>
              <w:jc w:val="center"/>
              <w:rPr>
                <w:sz w:val="20"/>
              </w:rPr>
            </w:pPr>
            <w:r>
              <w:rPr>
                <w:b/>
                <w:spacing w:val="-2"/>
                <w:sz w:val="20"/>
              </w:rPr>
              <w:t>Costs</w:t>
            </w:r>
            <w:r>
              <w:rPr>
                <w:spacing w:val="-2"/>
                <w:sz w:val="20"/>
                <w:vertAlign w:val="superscript"/>
              </w:rPr>
              <w:t>1</w:t>
            </w:r>
          </w:p>
        </w:tc>
        <w:tc>
          <w:tcPr>
            <w:tcW w:w="1440" w:type="dxa"/>
            <w:tcBorders>
              <w:bottom w:val="single" w:sz="12" w:space="0" w:color="666666"/>
            </w:tcBorders>
            <w:shd w:val="clear" w:color="auto" w:fill="DADADA"/>
          </w:tcPr>
          <w:p w14:paraId="365A9808" w14:textId="77777777" w:rsidR="00E41A5B" w:rsidRDefault="00DA7B02">
            <w:pPr>
              <w:pStyle w:val="TableParagraph"/>
              <w:ind w:left="131" w:right="124" w:firstLine="10"/>
              <w:jc w:val="center"/>
              <w:rPr>
                <w:b/>
                <w:sz w:val="20"/>
              </w:rPr>
            </w:pPr>
            <w:r>
              <w:rPr>
                <w:b/>
                <w:spacing w:val="-2"/>
                <w:sz w:val="20"/>
              </w:rPr>
              <w:t xml:space="preserve">Program </w:t>
            </w:r>
            <w:r>
              <w:rPr>
                <w:b/>
                <w:sz w:val="20"/>
              </w:rPr>
              <w:t xml:space="preserve">Funds to Pay </w:t>
            </w:r>
            <w:r>
              <w:rPr>
                <w:b/>
                <w:spacing w:val="-4"/>
                <w:sz w:val="20"/>
              </w:rPr>
              <w:t>for</w:t>
            </w:r>
          </w:p>
          <w:p w14:paraId="365A9809" w14:textId="77777777" w:rsidR="00E41A5B" w:rsidRDefault="00DA7B02">
            <w:pPr>
              <w:pStyle w:val="TableParagraph"/>
              <w:spacing w:line="228" w:lineRule="exact"/>
              <w:ind w:left="11" w:right="4"/>
              <w:jc w:val="center"/>
              <w:rPr>
                <w:b/>
                <w:sz w:val="20"/>
              </w:rPr>
            </w:pPr>
            <w:r>
              <w:rPr>
                <w:b/>
                <w:spacing w:val="-6"/>
                <w:sz w:val="20"/>
              </w:rPr>
              <w:t xml:space="preserve">Infrastructure </w:t>
            </w:r>
            <w:r>
              <w:rPr>
                <w:b/>
                <w:spacing w:val="-2"/>
                <w:sz w:val="20"/>
              </w:rPr>
              <w:t>Costs</w:t>
            </w:r>
          </w:p>
        </w:tc>
        <w:tc>
          <w:tcPr>
            <w:tcW w:w="1440" w:type="dxa"/>
            <w:tcBorders>
              <w:bottom w:val="single" w:sz="12" w:space="0" w:color="666666"/>
            </w:tcBorders>
            <w:shd w:val="clear" w:color="auto" w:fill="DADADA"/>
          </w:tcPr>
          <w:p w14:paraId="365A980A" w14:textId="77777777" w:rsidR="00E41A5B" w:rsidRDefault="00DA7B02">
            <w:pPr>
              <w:pStyle w:val="TableParagraph"/>
              <w:spacing w:before="216" w:line="252" w:lineRule="auto"/>
              <w:ind w:left="223" w:right="100" w:hanging="106"/>
              <w:rPr>
                <w:sz w:val="20"/>
              </w:rPr>
            </w:pPr>
            <w:r>
              <w:rPr>
                <w:b/>
                <w:sz w:val="20"/>
              </w:rPr>
              <w:t>State</w:t>
            </w:r>
            <w:r>
              <w:rPr>
                <w:b/>
                <w:spacing w:val="-13"/>
                <w:sz w:val="20"/>
              </w:rPr>
              <w:t xml:space="preserve"> </w:t>
            </w:r>
            <w:r>
              <w:rPr>
                <w:b/>
                <w:sz w:val="20"/>
              </w:rPr>
              <w:t xml:space="preserve">Funding </w:t>
            </w:r>
            <w:r>
              <w:rPr>
                <w:b/>
                <w:spacing w:val="-2"/>
                <w:sz w:val="20"/>
              </w:rPr>
              <w:t>Mechanism Applicable</w:t>
            </w:r>
            <w:r>
              <w:rPr>
                <w:spacing w:val="-2"/>
                <w:sz w:val="20"/>
                <w:vertAlign w:val="superscript"/>
              </w:rPr>
              <w:t>2</w:t>
            </w:r>
          </w:p>
        </w:tc>
      </w:tr>
      <w:tr w:rsidR="00E41A5B" w14:paraId="365A9813" w14:textId="77777777">
        <w:trPr>
          <w:trHeight w:val="500"/>
        </w:trPr>
        <w:tc>
          <w:tcPr>
            <w:tcW w:w="720" w:type="dxa"/>
            <w:tcBorders>
              <w:top w:val="single" w:sz="12" w:space="0" w:color="666666"/>
            </w:tcBorders>
          </w:tcPr>
          <w:p w14:paraId="365A980C" w14:textId="77777777" w:rsidR="00E41A5B" w:rsidRDefault="00DA7B02">
            <w:pPr>
              <w:pStyle w:val="TableParagraph"/>
              <w:spacing w:before="14"/>
              <w:ind w:left="93"/>
              <w:rPr>
                <w:sz w:val="20"/>
              </w:rPr>
            </w:pPr>
            <w:r>
              <w:rPr>
                <w:spacing w:val="-5"/>
                <w:sz w:val="20"/>
              </w:rPr>
              <w:t>DOL</w:t>
            </w:r>
          </w:p>
        </w:tc>
        <w:tc>
          <w:tcPr>
            <w:tcW w:w="5311" w:type="dxa"/>
            <w:tcBorders>
              <w:top w:val="single" w:sz="12" w:space="0" w:color="666666"/>
            </w:tcBorders>
          </w:tcPr>
          <w:p w14:paraId="365A980D" w14:textId="77777777" w:rsidR="00E41A5B" w:rsidRDefault="00DA7B02">
            <w:pPr>
              <w:pStyle w:val="TableParagraph"/>
              <w:spacing w:before="12"/>
              <w:ind w:left="93"/>
              <w:rPr>
                <w:sz w:val="20"/>
              </w:rPr>
            </w:pPr>
            <w:r>
              <w:rPr>
                <w:sz w:val="20"/>
              </w:rPr>
              <w:t>WIOA</w:t>
            </w:r>
            <w:r>
              <w:rPr>
                <w:spacing w:val="-5"/>
                <w:sz w:val="20"/>
              </w:rPr>
              <w:t xml:space="preserve"> </w:t>
            </w:r>
            <w:r>
              <w:rPr>
                <w:sz w:val="20"/>
              </w:rPr>
              <w:t>Title</w:t>
            </w:r>
            <w:r>
              <w:rPr>
                <w:spacing w:val="-3"/>
                <w:sz w:val="20"/>
              </w:rPr>
              <w:t xml:space="preserve"> </w:t>
            </w:r>
            <w:r>
              <w:rPr>
                <w:sz w:val="20"/>
              </w:rPr>
              <w:t>I</w:t>
            </w:r>
            <w:r>
              <w:rPr>
                <w:spacing w:val="-2"/>
                <w:sz w:val="20"/>
              </w:rPr>
              <w:t xml:space="preserve"> programs:</w:t>
            </w:r>
          </w:p>
          <w:p w14:paraId="365A980E" w14:textId="77777777" w:rsidR="00E41A5B" w:rsidRDefault="00DA7B02">
            <w:pPr>
              <w:pStyle w:val="TableParagraph"/>
              <w:numPr>
                <w:ilvl w:val="0"/>
                <w:numId w:val="5"/>
              </w:numPr>
              <w:tabs>
                <w:tab w:val="left" w:pos="526"/>
              </w:tabs>
              <w:spacing w:before="12" w:line="227" w:lineRule="exact"/>
              <w:ind w:left="526" w:hanging="179"/>
              <w:rPr>
                <w:sz w:val="20"/>
              </w:rPr>
            </w:pPr>
            <w:r>
              <w:rPr>
                <w:sz w:val="20"/>
              </w:rPr>
              <w:t>Adult,</w:t>
            </w:r>
            <w:r>
              <w:rPr>
                <w:spacing w:val="-13"/>
                <w:sz w:val="20"/>
              </w:rPr>
              <w:t xml:space="preserve"> </w:t>
            </w:r>
            <w:r>
              <w:rPr>
                <w:sz w:val="20"/>
              </w:rPr>
              <w:t>Dislocated</w:t>
            </w:r>
            <w:r>
              <w:rPr>
                <w:spacing w:val="-7"/>
                <w:sz w:val="20"/>
              </w:rPr>
              <w:t xml:space="preserve"> </w:t>
            </w:r>
            <w:r>
              <w:rPr>
                <w:sz w:val="20"/>
              </w:rPr>
              <w:t>Worker,</w:t>
            </w:r>
            <w:r>
              <w:rPr>
                <w:spacing w:val="-6"/>
                <w:sz w:val="20"/>
              </w:rPr>
              <w:t xml:space="preserve"> </w:t>
            </w:r>
            <w:r>
              <w:rPr>
                <w:sz w:val="20"/>
              </w:rPr>
              <w:t>&amp;</w:t>
            </w:r>
            <w:r>
              <w:rPr>
                <w:spacing w:val="-13"/>
                <w:sz w:val="20"/>
              </w:rPr>
              <w:t xml:space="preserve"> </w:t>
            </w:r>
            <w:r>
              <w:rPr>
                <w:spacing w:val="-2"/>
                <w:sz w:val="20"/>
              </w:rPr>
              <w:t>Youth</w:t>
            </w:r>
          </w:p>
        </w:tc>
        <w:tc>
          <w:tcPr>
            <w:tcW w:w="1260" w:type="dxa"/>
            <w:tcBorders>
              <w:top w:val="single" w:sz="12" w:space="0" w:color="666666"/>
            </w:tcBorders>
          </w:tcPr>
          <w:p w14:paraId="365A980F" w14:textId="77777777" w:rsidR="00E41A5B" w:rsidRDefault="00DA7B02">
            <w:pPr>
              <w:pStyle w:val="TableParagraph"/>
              <w:spacing w:before="14"/>
              <w:ind w:left="323"/>
              <w:rPr>
                <w:sz w:val="20"/>
              </w:rPr>
            </w:pPr>
            <w:r>
              <w:rPr>
                <w:spacing w:val="-2"/>
                <w:sz w:val="20"/>
              </w:rPr>
              <w:t>Required</w:t>
            </w:r>
          </w:p>
        </w:tc>
        <w:tc>
          <w:tcPr>
            <w:tcW w:w="1620" w:type="dxa"/>
            <w:tcBorders>
              <w:top w:val="single" w:sz="12" w:space="0" w:color="666666"/>
            </w:tcBorders>
          </w:tcPr>
          <w:p w14:paraId="365A9810" w14:textId="77777777" w:rsidR="00E41A5B" w:rsidRDefault="00DA7B02">
            <w:pPr>
              <w:pStyle w:val="TableParagraph"/>
              <w:spacing w:before="14"/>
              <w:ind w:left="141" w:right="136"/>
              <w:jc w:val="center"/>
              <w:rPr>
                <w:sz w:val="20"/>
              </w:rPr>
            </w:pPr>
            <w:r>
              <w:rPr>
                <w:spacing w:val="-5"/>
                <w:sz w:val="20"/>
              </w:rPr>
              <w:t>Yes</w:t>
            </w:r>
          </w:p>
        </w:tc>
        <w:tc>
          <w:tcPr>
            <w:tcW w:w="1440" w:type="dxa"/>
            <w:tcBorders>
              <w:top w:val="single" w:sz="12" w:space="0" w:color="666666"/>
            </w:tcBorders>
          </w:tcPr>
          <w:p w14:paraId="365A9811" w14:textId="77777777" w:rsidR="00E41A5B" w:rsidRDefault="00DA7B02">
            <w:pPr>
              <w:pStyle w:val="TableParagraph"/>
              <w:spacing w:before="14"/>
              <w:ind w:left="9" w:right="13"/>
              <w:jc w:val="center"/>
              <w:rPr>
                <w:sz w:val="20"/>
              </w:rPr>
            </w:pPr>
            <w:r>
              <w:rPr>
                <w:spacing w:val="-5"/>
                <w:sz w:val="20"/>
              </w:rPr>
              <w:t>Yes</w:t>
            </w:r>
          </w:p>
        </w:tc>
        <w:tc>
          <w:tcPr>
            <w:tcW w:w="1440" w:type="dxa"/>
            <w:tcBorders>
              <w:top w:val="single" w:sz="12" w:space="0" w:color="666666"/>
            </w:tcBorders>
          </w:tcPr>
          <w:p w14:paraId="365A9812" w14:textId="77777777" w:rsidR="00E41A5B" w:rsidRDefault="00DA7B02">
            <w:pPr>
              <w:pStyle w:val="TableParagraph"/>
              <w:spacing w:before="14"/>
              <w:ind w:left="12" w:right="4"/>
              <w:jc w:val="center"/>
              <w:rPr>
                <w:sz w:val="20"/>
              </w:rPr>
            </w:pPr>
            <w:r>
              <w:rPr>
                <w:spacing w:val="-5"/>
                <w:sz w:val="20"/>
              </w:rPr>
              <w:t>Yes</w:t>
            </w:r>
          </w:p>
        </w:tc>
      </w:tr>
      <w:tr w:rsidR="00E41A5B" w14:paraId="365A981A" w14:textId="77777777">
        <w:trPr>
          <w:trHeight w:val="239"/>
        </w:trPr>
        <w:tc>
          <w:tcPr>
            <w:tcW w:w="720" w:type="dxa"/>
          </w:tcPr>
          <w:p w14:paraId="365A9814" w14:textId="77777777" w:rsidR="00E41A5B" w:rsidRDefault="00DA7B02">
            <w:pPr>
              <w:pStyle w:val="TableParagraph"/>
              <w:spacing w:line="220" w:lineRule="exact"/>
              <w:ind w:left="93"/>
              <w:rPr>
                <w:sz w:val="20"/>
              </w:rPr>
            </w:pPr>
            <w:r>
              <w:rPr>
                <w:spacing w:val="-5"/>
                <w:sz w:val="20"/>
              </w:rPr>
              <w:t>DOL</w:t>
            </w:r>
          </w:p>
        </w:tc>
        <w:tc>
          <w:tcPr>
            <w:tcW w:w="5311" w:type="dxa"/>
          </w:tcPr>
          <w:p w14:paraId="365A9815" w14:textId="77777777" w:rsidR="00E41A5B" w:rsidRDefault="00DA7B02">
            <w:pPr>
              <w:pStyle w:val="TableParagraph"/>
              <w:numPr>
                <w:ilvl w:val="0"/>
                <w:numId w:val="4"/>
              </w:numPr>
              <w:tabs>
                <w:tab w:val="left" w:pos="526"/>
              </w:tabs>
              <w:spacing w:line="220" w:lineRule="exact"/>
              <w:ind w:left="526" w:hanging="179"/>
              <w:rPr>
                <w:sz w:val="20"/>
              </w:rPr>
            </w:pPr>
            <w:r>
              <w:rPr>
                <w:sz w:val="20"/>
              </w:rPr>
              <w:t>Job</w:t>
            </w:r>
            <w:r>
              <w:rPr>
                <w:spacing w:val="-5"/>
                <w:sz w:val="20"/>
              </w:rPr>
              <w:t xml:space="preserve"> </w:t>
            </w:r>
            <w:r>
              <w:rPr>
                <w:spacing w:val="-2"/>
                <w:sz w:val="20"/>
              </w:rPr>
              <w:t>Corps</w:t>
            </w:r>
          </w:p>
        </w:tc>
        <w:tc>
          <w:tcPr>
            <w:tcW w:w="1260" w:type="dxa"/>
          </w:tcPr>
          <w:p w14:paraId="365A9816" w14:textId="77777777" w:rsidR="00E41A5B" w:rsidRDefault="00DA7B02">
            <w:pPr>
              <w:pStyle w:val="TableParagraph"/>
              <w:spacing w:line="220" w:lineRule="exact"/>
              <w:ind w:left="323"/>
              <w:rPr>
                <w:sz w:val="20"/>
              </w:rPr>
            </w:pPr>
            <w:r>
              <w:rPr>
                <w:spacing w:val="-2"/>
                <w:sz w:val="20"/>
              </w:rPr>
              <w:t>Required</w:t>
            </w:r>
          </w:p>
        </w:tc>
        <w:tc>
          <w:tcPr>
            <w:tcW w:w="1620" w:type="dxa"/>
          </w:tcPr>
          <w:p w14:paraId="365A9817" w14:textId="77777777" w:rsidR="00E41A5B" w:rsidRDefault="00DA7B02">
            <w:pPr>
              <w:pStyle w:val="TableParagraph"/>
              <w:spacing w:line="220" w:lineRule="exact"/>
              <w:ind w:left="141" w:right="135"/>
              <w:jc w:val="center"/>
              <w:rPr>
                <w:sz w:val="20"/>
              </w:rPr>
            </w:pPr>
            <w:r>
              <w:rPr>
                <w:spacing w:val="-5"/>
                <w:sz w:val="20"/>
              </w:rPr>
              <w:t>No</w:t>
            </w:r>
          </w:p>
        </w:tc>
        <w:tc>
          <w:tcPr>
            <w:tcW w:w="1440" w:type="dxa"/>
          </w:tcPr>
          <w:p w14:paraId="365A9818" w14:textId="77777777" w:rsidR="00E41A5B" w:rsidRDefault="00DA7B02">
            <w:pPr>
              <w:pStyle w:val="TableParagraph"/>
              <w:spacing w:line="220" w:lineRule="exact"/>
              <w:ind w:left="9" w:right="13"/>
              <w:jc w:val="center"/>
              <w:rPr>
                <w:sz w:val="20"/>
              </w:rPr>
            </w:pPr>
            <w:r>
              <w:rPr>
                <w:spacing w:val="-5"/>
                <w:sz w:val="20"/>
              </w:rPr>
              <w:t>Yes</w:t>
            </w:r>
          </w:p>
        </w:tc>
        <w:tc>
          <w:tcPr>
            <w:tcW w:w="1440" w:type="dxa"/>
          </w:tcPr>
          <w:p w14:paraId="365A9819" w14:textId="77777777" w:rsidR="00E41A5B" w:rsidRDefault="00DA7B02">
            <w:pPr>
              <w:pStyle w:val="TableParagraph"/>
              <w:spacing w:line="220" w:lineRule="exact"/>
              <w:ind w:left="12" w:right="4"/>
              <w:jc w:val="center"/>
              <w:rPr>
                <w:sz w:val="20"/>
              </w:rPr>
            </w:pPr>
            <w:r>
              <w:rPr>
                <w:spacing w:val="-5"/>
                <w:sz w:val="20"/>
              </w:rPr>
              <w:t>Yes</w:t>
            </w:r>
          </w:p>
        </w:tc>
      </w:tr>
      <w:tr w:rsidR="00E41A5B" w14:paraId="365A9821" w14:textId="77777777">
        <w:trPr>
          <w:trHeight w:val="239"/>
        </w:trPr>
        <w:tc>
          <w:tcPr>
            <w:tcW w:w="720" w:type="dxa"/>
          </w:tcPr>
          <w:p w14:paraId="365A981B" w14:textId="77777777" w:rsidR="00E41A5B" w:rsidRDefault="00DA7B02">
            <w:pPr>
              <w:pStyle w:val="TableParagraph"/>
              <w:spacing w:line="220" w:lineRule="exact"/>
              <w:ind w:left="93"/>
              <w:rPr>
                <w:sz w:val="20"/>
              </w:rPr>
            </w:pPr>
            <w:r>
              <w:rPr>
                <w:spacing w:val="-5"/>
                <w:sz w:val="20"/>
              </w:rPr>
              <w:t>DOL</w:t>
            </w:r>
          </w:p>
        </w:tc>
        <w:tc>
          <w:tcPr>
            <w:tcW w:w="5311" w:type="dxa"/>
          </w:tcPr>
          <w:p w14:paraId="365A981C" w14:textId="77777777" w:rsidR="00E41A5B" w:rsidRDefault="00DA7B02">
            <w:pPr>
              <w:pStyle w:val="TableParagraph"/>
              <w:numPr>
                <w:ilvl w:val="0"/>
                <w:numId w:val="3"/>
              </w:numPr>
              <w:tabs>
                <w:tab w:val="left" w:pos="526"/>
              </w:tabs>
              <w:spacing w:line="219" w:lineRule="exact"/>
              <w:ind w:left="526" w:hanging="179"/>
              <w:rPr>
                <w:sz w:val="20"/>
              </w:rPr>
            </w:pPr>
            <w:r>
              <w:rPr>
                <w:spacing w:val="-2"/>
                <w:sz w:val="20"/>
              </w:rPr>
              <w:t>YouthBuild</w:t>
            </w:r>
          </w:p>
        </w:tc>
        <w:tc>
          <w:tcPr>
            <w:tcW w:w="1260" w:type="dxa"/>
          </w:tcPr>
          <w:p w14:paraId="365A981D" w14:textId="77777777" w:rsidR="00E41A5B" w:rsidRDefault="00DA7B02">
            <w:pPr>
              <w:pStyle w:val="TableParagraph"/>
              <w:spacing w:line="220" w:lineRule="exact"/>
              <w:ind w:left="323"/>
              <w:rPr>
                <w:sz w:val="20"/>
              </w:rPr>
            </w:pPr>
            <w:r>
              <w:rPr>
                <w:spacing w:val="-2"/>
                <w:sz w:val="20"/>
              </w:rPr>
              <w:t>Required</w:t>
            </w:r>
          </w:p>
        </w:tc>
        <w:tc>
          <w:tcPr>
            <w:tcW w:w="1620" w:type="dxa"/>
          </w:tcPr>
          <w:p w14:paraId="365A981E" w14:textId="77777777" w:rsidR="00E41A5B" w:rsidRDefault="00DA7B02">
            <w:pPr>
              <w:pStyle w:val="TableParagraph"/>
              <w:spacing w:line="220" w:lineRule="exact"/>
              <w:ind w:left="141" w:right="136"/>
              <w:jc w:val="center"/>
              <w:rPr>
                <w:sz w:val="20"/>
              </w:rPr>
            </w:pPr>
            <w:r>
              <w:rPr>
                <w:spacing w:val="-5"/>
                <w:sz w:val="20"/>
              </w:rPr>
              <w:t>Yes</w:t>
            </w:r>
          </w:p>
        </w:tc>
        <w:tc>
          <w:tcPr>
            <w:tcW w:w="1440" w:type="dxa"/>
          </w:tcPr>
          <w:p w14:paraId="365A981F" w14:textId="77777777" w:rsidR="00E41A5B" w:rsidRDefault="00DA7B02">
            <w:pPr>
              <w:pStyle w:val="TableParagraph"/>
              <w:spacing w:line="220" w:lineRule="exact"/>
              <w:ind w:left="9" w:right="13"/>
              <w:jc w:val="center"/>
              <w:rPr>
                <w:sz w:val="20"/>
              </w:rPr>
            </w:pPr>
            <w:r>
              <w:rPr>
                <w:spacing w:val="-5"/>
                <w:sz w:val="20"/>
              </w:rPr>
              <w:t>Yes</w:t>
            </w:r>
          </w:p>
        </w:tc>
        <w:tc>
          <w:tcPr>
            <w:tcW w:w="1440" w:type="dxa"/>
          </w:tcPr>
          <w:p w14:paraId="365A9820" w14:textId="77777777" w:rsidR="00E41A5B" w:rsidRDefault="00DA7B02">
            <w:pPr>
              <w:pStyle w:val="TableParagraph"/>
              <w:spacing w:line="220" w:lineRule="exact"/>
              <w:ind w:left="12" w:right="4"/>
              <w:jc w:val="center"/>
              <w:rPr>
                <w:sz w:val="20"/>
              </w:rPr>
            </w:pPr>
            <w:r>
              <w:rPr>
                <w:spacing w:val="-5"/>
                <w:sz w:val="20"/>
              </w:rPr>
              <w:t>Yes</w:t>
            </w:r>
          </w:p>
        </w:tc>
      </w:tr>
      <w:tr w:rsidR="00E41A5B" w14:paraId="365A9828" w14:textId="77777777">
        <w:trPr>
          <w:trHeight w:val="239"/>
        </w:trPr>
        <w:tc>
          <w:tcPr>
            <w:tcW w:w="720" w:type="dxa"/>
          </w:tcPr>
          <w:p w14:paraId="365A9822" w14:textId="77777777" w:rsidR="00E41A5B" w:rsidRDefault="00DA7B02">
            <w:pPr>
              <w:pStyle w:val="TableParagraph"/>
              <w:spacing w:line="220" w:lineRule="exact"/>
              <w:ind w:left="93"/>
              <w:rPr>
                <w:sz w:val="20"/>
              </w:rPr>
            </w:pPr>
            <w:r>
              <w:rPr>
                <w:spacing w:val="-5"/>
                <w:sz w:val="20"/>
              </w:rPr>
              <w:t>DOL</w:t>
            </w:r>
          </w:p>
        </w:tc>
        <w:tc>
          <w:tcPr>
            <w:tcW w:w="5311" w:type="dxa"/>
          </w:tcPr>
          <w:p w14:paraId="365A9823" w14:textId="77777777" w:rsidR="00E41A5B" w:rsidRDefault="00DA7B02">
            <w:pPr>
              <w:pStyle w:val="TableParagraph"/>
              <w:numPr>
                <w:ilvl w:val="0"/>
                <w:numId w:val="2"/>
              </w:numPr>
              <w:tabs>
                <w:tab w:val="left" w:pos="526"/>
              </w:tabs>
              <w:spacing w:line="220" w:lineRule="exact"/>
              <w:ind w:left="526" w:hanging="179"/>
              <w:rPr>
                <w:sz w:val="20"/>
              </w:rPr>
            </w:pPr>
            <w:r>
              <w:rPr>
                <w:spacing w:val="-4"/>
                <w:sz w:val="20"/>
              </w:rPr>
              <w:t>NFJP</w:t>
            </w:r>
          </w:p>
        </w:tc>
        <w:tc>
          <w:tcPr>
            <w:tcW w:w="1260" w:type="dxa"/>
          </w:tcPr>
          <w:p w14:paraId="365A9824" w14:textId="77777777" w:rsidR="00E41A5B" w:rsidRDefault="00DA7B02">
            <w:pPr>
              <w:pStyle w:val="TableParagraph"/>
              <w:spacing w:line="220" w:lineRule="exact"/>
              <w:ind w:left="323"/>
              <w:rPr>
                <w:sz w:val="20"/>
              </w:rPr>
            </w:pPr>
            <w:r>
              <w:rPr>
                <w:spacing w:val="-2"/>
                <w:sz w:val="20"/>
              </w:rPr>
              <w:t>Required</w:t>
            </w:r>
          </w:p>
        </w:tc>
        <w:tc>
          <w:tcPr>
            <w:tcW w:w="1620" w:type="dxa"/>
          </w:tcPr>
          <w:p w14:paraId="365A9825" w14:textId="77777777" w:rsidR="00E41A5B" w:rsidRDefault="00DA7B02">
            <w:pPr>
              <w:pStyle w:val="TableParagraph"/>
              <w:spacing w:line="220" w:lineRule="exact"/>
              <w:ind w:left="141" w:right="136"/>
              <w:jc w:val="center"/>
              <w:rPr>
                <w:sz w:val="20"/>
              </w:rPr>
            </w:pPr>
            <w:r>
              <w:rPr>
                <w:spacing w:val="-5"/>
                <w:sz w:val="20"/>
              </w:rPr>
              <w:t>Yes</w:t>
            </w:r>
          </w:p>
        </w:tc>
        <w:tc>
          <w:tcPr>
            <w:tcW w:w="1440" w:type="dxa"/>
          </w:tcPr>
          <w:p w14:paraId="365A9826" w14:textId="77777777" w:rsidR="00E41A5B" w:rsidRDefault="00DA7B02">
            <w:pPr>
              <w:pStyle w:val="TableParagraph"/>
              <w:spacing w:line="220" w:lineRule="exact"/>
              <w:ind w:left="9" w:right="13"/>
              <w:jc w:val="center"/>
              <w:rPr>
                <w:sz w:val="20"/>
              </w:rPr>
            </w:pPr>
            <w:r>
              <w:rPr>
                <w:spacing w:val="-5"/>
                <w:sz w:val="20"/>
              </w:rPr>
              <w:t>Yes</w:t>
            </w:r>
          </w:p>
        </w:tc>
        <w:tc>
          <w:tcPr>
            <w:tcW w:w="1440" w:type="dxa"/>
          </w:tcPr>
          <w:p w14:paraId="365A9827" w14:textId="77777777" w:rsidR="00E41A5B" w:rsidRDefault="00DA7B02">
            <w:pPr>
              <w:pStyle w:val="TableParagraph"/>
              <w:spacing w:line="220" w:lineRule="exact"/>
              <w:ind w:left="12" w:right="4"/>
              <w:jc w:val="center"/>
              <w:rPr>
                <w:sz w:val="20"/>
              </w:rPr>
            </w:pPr>
            <w:r>
              <w:rPr>
                <w:spacing w:val="-5"/>
                <w:sz w:val="20"/>
              </w:rPr>
              <w:t>Yes</w:t>
            </w:r>
          </w:p>
        </w:tc>
      </w:tr>
      <w:tr w:rsidR="00E41A5B" w14:paraId="365A982F" w14:textId="77777777">
        <w:trPr>
          <w:trHeight w:val="239"/>
        </w:trPr>
        <w:tc>
          <w:tcPr>
            <w:tcW w:w="720" w:type="dxa"/>
          </w:tcPr>
          <w:p w14:paraId="365A9829" w14:textId="77777777" w:rsidR="00E41A5B" w:rsidRDefault="00DA7B02">
            <w:pPr>
              <w:pStyle w:val="TableParagraph"/>
              <w:spacing w:line="220" w:lineRule="exact"/>
              <w:ind w:left="93"/>
              <w:rPr>
                <w:sz w:val="20"/>
              </w:rPr>
            </w:pPr>
            <w:r>
              <w:rPr>
                <w:spacing w:val="-5"/>
                <w:sz w:val="20"/>
              </w:rPr>
              <w:t>DOL</w:t>
            </w:r>
          </w:p>
        </w:tc>
        <w:tc>
          <w:tcPr>
            <w:tcW w:w="5311" w:type="dxa"/>
          </w:tcPr>
          <w:p w14:paraId="365A982A" w14:textId="77777777" w:rsidR="00E41A5B" w:rsidRDefault="00DA7B02">
            <w:pPr>
              <w:pStyle w:val="TableParagraph"/>
              <w:numPr>
                <w:ilvl w:val="0"/>
                <w:numId w:val="1"/>
              </w:numPr>
              <w:tabs>
                <w:tab w:val="left" w:pos="526"/>
              </w:tabs>
              <w:spacing w:line="219" w:lineRule="exact"/>
              <w:ind w:left="526" w:hanging="179"/>
              <w:rPr>
                <w:sz w:val="20"/>
              </w:rPr>
            </w:pPr>
            <w:r>
              <w:rPr>
                <w:spacing w:val="-2"/>
                <w:sz w:val="20"/>
              </w:rPr>
              <w:t>Native</w:t>
            </w:r>
            <w:r>
              <w:rPr>
                <w:spacing w:val="8"/>
                <w:sz w:val="20"/>
              </w:rPr>
              <w:t xml:space="preserve"> </w:t>
            </w:r>
            <w:r>
              <w:rPr>
                <w:spacing w:val="-2"/>
                <w:sz w:val="20"/>
              </w:rPr>
              <w:t>American</w:t>
            </w:r>
            <w:r>
              <w:rPr>
                <w:spacing w:val="-7"/>
                <w:sz w:val="20"/>
              </w:rPr>
              <w:t xml:space="preserve"> </w:t>
            </w:r>
            <w:r>
              <w:rPr>
                <w:spacing w:val="-2"/>
                <w:sz w:val="20"/>
              </w:rPr>
              <w:t>programs</w:t>
            </w:r>
            <w:r>
              <w:rPr>
                <w:spacing w:val="-2"/>
                <w:sz w:val="20"/>
                <w:vertAlign w:val="superscript"/>
              </w:rPr>
              <w:t>3</w:t>
            </w:r>
          </w:p>
        </w:tc>
        <w:tc>
          <w:tcPr>
            <w:tcW w:w="1260" w:type="dxa"/>
          </w:tcPr>
          <w:p w14:paraId="365A982B" w14:textId="77777777" w:rsidR="00E41A5B" w:rsidRDefault="00DA7B02">
            <w:pPr>
              <w:pStyle w:val="TableParagraph"/>
              <w:spacing w:line="220" w:lineRule="exact"/>
              <w:ind w:left="323"/>
              <w:rPr>
                <w:sz w:val="20"/>
              </w:rPr>
            </w:pPr>
            <w:r>
              <w:rPr>
                <w:spacing w:val="-2"/>
                <w:sz w:val="20"/>
              </w:rPr>
              <w:t>Required</w:t>
            </w:r>
          </w:p>
        </w:tc>
        <w:tc>
          <w:tcPr>
            <w:tcW w:w="1620" w:type="dxa"/>
          </w:tcPr>
          <w:p w14:paraId="365A982C" w14:textId="77777777" w:rsidR="00E41A5B" w:rsidRDefault="00DA7B02">
            <w:pPr>
              <w:pStyle w:val="TableParagraph"/>
              <w:spacing w:line="220" w:lineRule="exact"/>
              <w:ind w:left="141" w:right="136"/>
              <w:jc w:val="center"/>
              <w:rPr>
                <w:sz w:val="20"/>
              </w:rPr>
            </w:pPr>
            <w:r>
              <w:rPr>
                <w:spacing w:val="-5"/>
                <w:sz w:val="20"/>
              </w:rPr>
              <w:t>Yes</w:t>
            </w:r>
          </w:p>
        </w:tc>
        <w:tc>
          <w:tcPr>
            <w:tcW w:w="1440" w:type="dxa"/>
          </w:tcPr>
          <w:p w14:paraId="365A982D" w14:textId="77777777" w:rsidR="00E41A5B" w:rsidRDefault="00DA7B02">
            <w:pPr>
              <w:pStyle w:val="TableParagraph"/>
              <w:spacing w:line="220" w:lineRule="exact"/>
              <w:ind w:left="9" w:right="13"/>
              <w:jc w:val="center"/>
              <w:rPr>
                <w:sz w:val="20"/>
              </w:rPr>
            </w:pPr>
            <w:r>
              <w:rPr>
                <w:spacing w:val="-5"/>
                <w:sz w:val="20"/>
              </w:rPr>
              <w:t>Yes</w:t>
            </w:r>
          </w:p>
        </w:tc>
        <w:tc>
          <w:tcPr>
            <w:tcW w:w="1440" w:type="dxa"/>
          </w:tcPr>
          <w:p w14:paraId="365A982E" w14:textId="77777777" w:rsidR="00E41A5B" w:rsidRDefault="00DA7B02">
            <w:pPr>
              <w:pStyle w:val="TableParagraph"/>
              <w:spacing w:line="220" w:lineRule="exact"/>
              <w:ind w:left="13" w:right="4"/>
              <w:jc w:val="center"/>
              <w:rPr>
                <w:sz w:val="20"/>
              </w:rPr>
            </w:pPr>
            <w:r>
              <w:rPr>
                <w:spacing w:val="-5"/>
                <w:sz w:val="20"/>
              </w:rPr>
              <w:t>No</w:t>
            </w:r>
          </w:p>
        </w:tc>
      </w:tr>
      <w:tr w:rsidR="00E41A5B" w14:paraId="365A9836" w14:textId="77777777">
        <w:trPr>
          <w:trHeight w:val="242"/>
        </w:trPr>
        <w:tc>
          <w:tcPr>
            <w:tcW w:w="720" w:type="dxa"/>
          </w:tcPr>
          <w:p w14:paraId="365A9830" w14:textId="77777777" w:rsidR="00E41A5B" w:rsidRDefault="00DA7B02">
            <w:pPr>
              <w:pStyle w:val="TableParagraph"/>
              <w:spacing w:line="222" w:lineRule="exact"/>
              <w:ind w:left="93"/>
              <w:rPr>
                <w:sz w:val="20"/>
              </w:rPr>
            </w:pPr>
            <w:r>
              <w:rPr>
                <w:spacing w:val="-5"/>
                <w:sz w:val="20"/>
              </w:rPr>
              <w:t>DOL</w:t>
            </w:r>
          </w:p>
        </w:tc>
        <w:tc>
          <w:tcPr>
            <w:tcW w:w="5311" w:type="dxa"/>
          </w:tcPr>
          <w:p w14:paraId="365A9831" w14:textId="77777777" w:rsidR="00E41A5B" w:rsidRDefault="00DA7B02">
            <w:pPr>
              <w:pStyle w:val="TableParagraph"/>
              <w:spacing w:line="222" w:lineRule="exact"/>
              <w:ind w:left="76"/>
              <w:rPr>
                <w:sz w:val="20"/>
              </w:rPr>
            </w:pPr>
            <w:r>
              <w:rPr>
                <w:sz w:val="20"/>
              </w:rPr>
              <w:t>Wagner-Peyser</w:t>
            </w:r>
            <w:r>
              <w:rPr>
                <w:spacing w:val="-9"/>
                <w:sz w:val="20"/>
              </w:rPr>
              <w:t xml:space="preserve"> </w:t>
            </w:r>
            <w:r>
              <w:rPr>
                <w:sz w:val="20"/>
              </w:rPr>
              <w:t>Act</w:t>
            </w:r>
            <w:r>
              <w:rPr>
                <w:spacing w:val="-11"/>
                <w:sz w:val="20"/>
              </w:rPr>
              <w:t xml:space="preserve"> </w:t>
            </w:r>
            <w:r>
              <w:rPr>
                <w:spacing w:val="-5"/>
                <w:sz w:val="20"/>
              </w:rPr>
              <w:t>ES</w:t>
            </w:r>
          </w:p>
        </w:tc>
        <w:tc>
          <w:tcPr>
            <w:tcW w:w="1260" w:type="dxa"/>
          </w:tcPr>
          <w:p w14:paraId="365A9832" w14:textId="77777777" w:rsidR="00E41A5B" w:rsidRDefault="00DA7B02">
            <w:pPr>
              <w:pStyle w:val="TableParagraph"/>
              <w:spacing w:line="222" w:lineRule="exact"/>
              <w:ind w:left="323"/>
              <w:rPr>
                <w:sz w:val="20"/>
              </w:rPr>
            </w:pPr>
            <w:r>
              <w:rPr>
                <w:spacing w:val="-2"/>
                <w:sz w:val="20"/>
              </w:rPr>
              <w:t>Required</w:t>
            </w:r>
          </w:p>
        </w:tc>
        <w:tc>
          <w:tcPr>
            <w:tcW w:w="1620" w:type="dxa"/>
          </w:tcPr>
          <w:p w14:paraId="365A9833" w14:textId="77777777" w:rsidR="00E41A5B" w:rsidRDefault="00DA7B02">
            <w:pPr>
              <w:pStyle w:val="TableParagraph"/>
              <w:spacing w:line="222" w:lineRule="exact"/>
              <w:ind w:left="141" w:right="134"/>
              <w:jc w:val="center"/>
              <w:rPr>
                <w:sz w:val="20"/>
              </w:rPr>
            </w:pPr>
            <w:r>
              <w:rPr>
                <w:spacing w:val="-4"/>
                <w:sz w:val="20"/>
              </w:rPr>
              <w:t>N/A</w:t>
            </w:r>
            <w:r>
              <w:rPr>
                <w:spacing w:val="-4"/>
                <w:sz w:val="20"/>
                <w:vertAlign w:val="superscript"/>
              </w:rPr>
              <w:t>4</w:t>
            </w:r>
          </w:p>
        </w:tc>
        <w:tc>
          <w:tcPr>
            <w:tcW w:w="1440" w:type="dxa"/>
          </w:tcPr>
          <w:p w14:paraId="365A9834" w14:textId="77777777" w:rsidR="00E41A5B" w:rsidRDefault="00DA7B02">
            <w:pPr>
              <w:pStyle w:val="TableParagraph"/>
              <w:spacing w:line="222" w:lineRule="exact"/>
              <w:ind w:left="9" w:right="13"/>
              <w:jc w:val="center"/>
              <w:rPr>
                <w:sz w:val="20"/>
              </w:rPr>
            </w:pPr>
            <w:r>
              <w:rPr>
                <w:spacing w:val="-5"/>
                <w:sz w:val="20"/>
              </w:rPr>
              <w:t>Yes</w:t>
            </w:r>
          </w:p>
        </w:tc>
        <w:tc>
          <w:tcPr>
            <w:tcW w:w="1440" w:type="dxa"/>
          </w:tcPr>
          <w:p w14:paraId="365A9835" w14:textId="77777777" w:rsidR="00E41A5B" w:rsidRDefault="00DA7B02">
            <w:pPr>
              <w:pStyle w:val="TableParagraph"/>
              <w:spacing w:line="222" w:lineRule="exact"/>
              <w:ind w:left="12" w:right="4"/>
              <w:jc w:val="center"/>
              <w:rPr>
                <w:sz w:val="20"/>
              </w:rPr>
            </w:pPr>
            <w:r>
              <w:rPr>
                <w:spacing w:val="-5"/>
                <w:sz w:val="20"/>
              </w:rPr>
              <w:t>Yes</w:t>
            </w:r>
          </w:p>
        </w:tc>
      </w:tr>
      <w:tr w:rsidR="00E41A5B" w14:paraId="365A983D" w14:textId="77777777">
        <w:trPr>
          <w:trHeight w:val="239"/>
        </w:trPr>
        <w:tc>
          <w:tcPr>
            <w:tcW w:w="720" w:type="dxa"/>
          </w:tcPr>
          <w:p w14:paraId="365A9837" w14:textId="77777777" w:rsidR="00E41A5B" w:rsidRDefault="00DA7B02">
            <w:pPr>
              <w:pStyle w:val="TableParagraph"/>
              <w:spacing w:line="220" w:lineRule="exact"/>
              <w:ind w:left="93"/>
              <w:rPr>
                <w:sz w:val="20"/>
              </w:rPr>
            </w:pPr>
            <w:r>
              <w:rPr>
                <w:spacing w:val="-5"/>
                <w:sz w:val="20"/>
              </w:rPr>
              <w:t>DOL</w:t>
            </w:r>
          </w:p>
        </w:tc>
        <w:tc>
          <w:tcPr>
            <w:tcW w:w="5311" w:type="dxa"/>
          </w:tcPr>
          <w:p w14:paraId="365A9838" w14:textId="77777777" w:rsidR="00E41A5B" w:rsidRDefault="00DA7B02">
            <w:pPr>
              <w:pStyle w:val="TableParagraph"/>
              <w:spacing w:line="220" w:lineRule="exact"/>
              <w:ind w:left="76"/>
              <w:rPr>
                <w:sz w:val="20"/>
              </w:rPr>
            </w:pPr>
            <w:r>
              <w:rPr>
                <w:spacing w:val="-4"/>
                <w:sz w:val="20"/>
              </w:rPr>
              <w:t>SCSEP</w:t>
            </w:r>
          </w:p>
        </w:tc>
        <w:tc>
          <w:tcPr>
            <w:tcW w:w="1260" w:type="dxa"/>
          </w:tcPr>
          <w:p w14:paraId="365A9839" w14:textId="77777777" w:rsidR="00E41A5B" w:rsidRDefault="00DA7B02">
            <w:pPr>
              <w:pStyle w:val="TableParagraph"/>
              <w:spacing w:line="220" w:lineRule="exact"/>
              <w:ind w:left="323"/>
              <w:rPr>
                <w:sz w:val="20"/>
              </w:rPr>
            </w:pPr>
            <w:r>
              <w:rPr>
                <w:spacing w:val="-2"/>
                <w:sz w:val="20"/>
              </w:rPr>
              <w:t>Required</w:t>
            </w:r>
          </w:p>
        </w:tc>
        <w:tc>
          <w:tcPr>
            <w:tcW w:w="1620" w:type="dxa"/>
          </w:tcPr>
          <w:p w14:paraId="365A983A" w14:textId="77777777" w:rsidR="00E41A5B" w:rsidRDefault="00DA7B02">
            <w:pPr>
              <w:pStyle w:val="TableParagraph"/>
              <w:spacing w:line="220" w:lineRule="exact"/>
              <w:ind w:left="141" w:right="136"/>
              <w:jc w:val="center"/>
              <w:rPr>
                <w:sz w:val="20"/>
              </w:rPr>
            </w:pPr>
            <w:r>
              <w:rPr>
                <w:spacing w:val="-5"/>
                <w:sz w:val="20"/>
              </w:rPr>
              <w:t>Yes</w:t>
            </w:r>
          </w:p>
        </w:tc>
        <w:tc>
          <w:tcPr>
            <w:tcW w:w="1440" w:type="dxa"/>
          </w:tcPr>
          <w:p w14:paraId="365A983B" w14:textId="77777777" w:rsidR="00E41A5B" w:rsidRDefault="00DA7B02">
            <w:pPr>
              <w:pStyle w:val="TableParagraph"/>
              <w:spacing w:line="220" w:lineRule="exact"/>
              <w:ind w:left="9" w:right="13"/>
              <w:jc w:val="center"/>
              <w:rPr>
                <w:sz w:val="20"/>
              </w:rPr>
            </w:pPr>
            <w:r>
              <w:rPr>
                <w:spacing w:val="-5"/>
                <w:sz w:val="20"/>
              </w:rPr>
              <w:t>Yes</w:t>
            </w:r>
          </w:p>
        </w:tc>
        <w:tc>
          <w:tcPr>
            <w:tcW w:w="1440" w:type="dxa"/>
          </w:tcPr>
          <w:p w14:paraId="365A983C" w14:textId="77777777" w:rsidR="00E41A5B" w:rsidRDefault="00DA7B02">
            <w:pPr>
              <w:pStyle w:val="TableParagraph"/>
              <w:spacing w:line="220" w:lineRule="exact"/>
              <w:ind w:left="12" w:right="4"/>
              <w:jc w:val="center"/>
              <w:rPr>
                <w:sz w:val="20"/>
              </w:rPr>
            </w:pPr>
            <w:r>
              <w:rPr>
                <w:spacing w:val="-5"/>
                <w:sz w:val="20"/>
              </w:rPr>
              <w:t>Yes</w:t>
            </w:r>
          </w:p>
        </w:tc>
      </w:tr>
      <w:tr w:rsidR="00E41A5B" w14:paraId="365A9844" w14:textId="77777777">
        <w:trPr>
          <w:trHeight w:val="239"/>
        </w:trPr>
        <w:tc>
          <w:tcPr>
            <w:tcW w:w="720" w:type="dxa"/>
          </w:tcPr>
          <w:p w14:paraId="365A983E" w14:textId="77777777" w:rsidR="00E41A5B" w:rsidRDefault="00DA7B02">
            <w:pPr>
              <w:pStyle w:val="TableParagraph"/>
              <w:spacing w:line="220" w:lineRule="exact"/>
              <w:ind w:left="93"/>
              <w:rPr>
                <w:sz w:val="20"/>
              </w:rPr>
            </w:pPr>
            <w:r>
              <w:rPr>
                <w:spacing w:val="-5"/>
                <w:sz w:val="20"/>
              </w:rPr>
              <w:t>DOL</w:t>
            </w:r>
          </w:p>
        </w:tc>
        <w:tc>
          <w:tcPr>
            <w:tcW w:w="5311" w:type="dxa"/>
          </w:tcPr>
          <w:p w14:paraId="365A983F" w14:textId="77777777" w:rsidR="00E41A5B" w:rsidRDefault="00DA7B02">
            <w:pPr>
              <w:pStyle w:val="TableParagraph"/>
              <w:spacing w:line="220" w:lineRule="exact"/>
              <w:ind w:left="76"/>
              <w:rPr>
                <w:sz w:val="20"/>
              </w:rPr>
            </w:pPr>
            <w:r>
              <w:rPr>
                <w:sz w:val="20"/>
              </w:rPr>
              <w:t>TAA</w:t>
            </w:r>
            <w:r>
              <w:rPr>
                <w:spacing w:val="-7"/>
                <w:sz w:val="20"/>
              </w:rPr>
              <w:t xml:space="preserve"> </w:t>
            </w:r>
            <w:r>
              <w:rPr>
                <w:spacing w:val="-2"/>
                <w:sz w:val="20"/>
              </w:rPr>
              <w:t>program</w:t>
            </w:r>
          </w:p>
        </w:tc>
        <w:tc>
          <w:tcPr>
            <w:tcW w:w="1260" w:type="dxa"/>
          </w:tcPr>
          <w:p w14:paraId="365A9840" w14:textId="77777777" w:rsidR="00E41A5B" w:rsidRDefault="00DA7B02">
            <w:pPr>
              <w:pStyle w:val="TableParagraph"/>
              <w:spacing w:line="220" w:lineRule="exact"/>
              <w:ind w:left="323"/>
              <w:rPr>
                <w:sz w:val="20"/>
              </w:rPr>
            </w:pPr>
            <w:r>
              <w:rPr>
                <w:spacing w:val="-2"/>
                <w:sz w:val="20"/>
              </w:rPr>
              <w:t>Required</w:t>
            </w:r>
          </w:p>
        </w:tc>
        <w:tc>
          <w:tcPr>
            <w:tcW w:w="1620" w:type="dxa"/>
          </w:tcPr>
          <w:p w14:paraId="365A9841" w14:textId="77777777" w:rsidR="00E41A5B" w:rsidRDefault="00DA7B02">
            <w:pPr>
              <w:pStyle w:val="TableParagraph"/>
              <w:spacing w:line="220" w:lineRule="exact"/>
              <w:ind w:left="141" w:right="136"/>
              <w:jc w:val="center"/>
              <w:rPr>
                <w:sz w:val="20"/>
              </w:rPr>
            </w:pPr>
            <w:r>
              <w:rPr>
                <w:spacing w:val="-5"/>
                <w:sz w:val="20"/>
              </w:rPr>
              <w:t>Yes</w:t>
            </w:r>
          </w:p>
        </w:tc>
        <w:tc>
          <w:tcPr>
            <w:tcW w:w="1440" w:type="dxa"/>
          </w:tcPr>
          <w:p w14:paraId="365A9842" w14:textId="77777777" w:rsidR="00E41A5B" w:rsidRDefault="00DA7B02">
            <w:pPr>
              <w:pStyle w:val="TableParagraph"/>
              <w:spacing w:line="220" w:lineRule="exact"/>
              <w:ind w:left="9" w:right="13"/>
              <w:jc w:val="center"/>
              <w:rPr>
                <w:sz w:val="20"/>
              </w:rPr>
            </w:pPr>
            <w:r>
              <w:rPr>
                <w:spacing w:val="-5"/>
                <w:sz w:val="20"/>
              </w:rPr>
              <w:t>Yes</w:t>
            </w:r>
          </w:p>
        </w:tc>
        <w:tc>
          <w:tcPr>
            <w:tcW w:w="1440" w:type="dxa"/>
          </w:tcPr>
          <w:p w14:paraId="365A9843" w14:textId="77777777" w:rsidR="00E41A5B" w:rsidRDefault="00DA7B02">
            <w:pPr>
              <w:pStyle w:val="TableParagraph"/>
              <w:spacing w:line="220" w:lineRule="exact"/>
              <w:ind w:left="12" w:right="4"/>
              <w:jc w:val="center"/>
              <w:rPr>
                <w:sz w:val="20"/>
              </w:rPr>
            </w:pPr>
            <w:r>
              <w:rPr>
                <w:spacing w:val="-5"/>
                <w:sz w:val="20"/>
              </w:rPr>
              <w:t>Yes</w:t>
            </w:r>
          </w:p>
        </w:tc>
      </w:tr>
      <w:tr w:rsidR="00E41A5B" w14:paraId="365A984B" w14:textId="77777777">
        <w:trPr>
          <w:trHeight w:val="239"/>
        </w:trPr>
        <w:tc>
          <w:tcPr>
            <w:tcW w:w="720" w:type="dxa"/>
          </w:tcPr>
          <w:p w14:paraId="365A9845" w14:textId="77777777" w:rsidR="00E41A5B" w:rsidRDefault="00DA7B02">
            <w:pPr>
              <w:pStyle w:val="TableParagraph"/>
              <w:spacing w:line="220" w:lineRule="exact"/>
              <w:ind w:left="93"/>
              <w:rPr>
                <w:sz w:val="20"/>
              </w:rPr>
            </w:pPr>
            <w:r>
              <w:rPr>
                <w:spacing w:val="-5"/>
                <w:sz w:val="20"/>
              </w:rPr>
              <w:t>DOL</w:t>
            </w:r>
          </w:p>
        </w:tc>
        <w:tc>
          <w:tcPr>
            <w:tcW w:w="5311" w:type="dxa"/>
          </w:tcPr>
          <w:p w14:paraId="365A9846" w14:textId="77777777" w:rsidR="00E41A5B" w:rsidRDefault="00DA7B02">
            <w:pPr>
              <w:pStyle w:val="TableParagraph"/>
              <w:spacing w:line="220" w:lineRule="exact"/>
              <w:ind w:left="76"/>
              <w:rPr>
                <w:sz w:val="20"/>
              </w:rPr>
            </w:pPr>
            <w:r>
              <w:rPr>
                <w:sz w:val="20"/>
              </w:rPr>
              <w:t>UC</w:t>
            </w:r>
            <w:r>
              <w:rPr>
                <w:spacing w:val="-4"/>
                <w:sz w:val="20"/>
              </w:rPr>
              <w:t xml:space="preserve"> </w:t>
            </w:r>
            <w:r>
              <w:rPr>
                <w:spacing w:val="-2"/>
                <w:sz w:val="20"/>
              </w:rPr>
              <w:t>programs</w:t>
            </w:r>
          </w:p>
        </w:tc>
        <w:tc>
          <w:tcPr>
            <w:tcW w:w="1260" w:type="dxa"/>
          </w:tcPr>
          <w:p w14:paraId="365A9847" w14:textId="77777777" w:rsidR="00E41A5B" w:rsidRDefault="00DA7B02">
            <w:pPr>
              <w:pStyle w:val="TableParagraph"/>
              <w:spacing w:line="220" w:lineRule="exact"/>
              <w:ind w:left="323"/>
              <w:rPr>
                <w:sz w:val="20"/>
              </w:rPr>
            </w:pPr>
            <w:r>
              <w:rPr>
                <w:spacing w:val="-2"/>
                <w:sz w:val="20"/>
              </w:rPr>
              <w:t>Required</w:t>
            </w:r>
          </w:p>
        </w:tc>
        <w:tc>
          <w:tcPr>
            <w:tcW w:w="1620" w:type="dxa"/>
          </w:tcPr>
          <w:p w14:paraId="365A9848" w14:textId="77777777" w:rsidR="00E41A5B" w:rsidRDefault="00DA7B02">
            <w:pPr>
              <w:pStyle w:val="TableParagraph"/>
              <w:spacing w:line="220" w:lineRule="exact"/>
              <w:ind w:left="141" w:right="134"/>
              <w:jc w:val="center"/>
              <w:rPr>
                <w:sz w:val="20"/>
              </w:rPr>
            </w:pPr>
            <w:r>
              <w:rPr>
                <w:spacing w:val="-4"/>
                <w:sz w:val="20"/>
              </w:rPr>
              <w:t>N/A</w:t>
            </w:r>
            <w:r>
              <w:rPr>
                <w:spacing w:val="-4"/>
                <w:sz w:val="20"/>
                <w:vertAlign w:val="superscript"/>
              </w:rPr>
              <w:t>4</w:t>
            </w:r>
          </w:p>
        </w:tc>
        <w:tc>
          <w:tcPr>
            <w:tcW w:w="1440" w:type="dxa"/>
          </w:tcPr>
          <w:p w14:paraId="365A9849" w14:textId="77777777" w:rsidR="00E41A5B" w:rsidRDefault="00DA7B02">
            <w:pPr>
              <w:pStyle w:val="TableParagraph"/>
              <w:spacing w:line="220" w:lineRule="exact"/>
              <w:ind w:left="9" w:right="13"/>
              <w:jc w:val="center"/>
              <w:rPr>
                <w:sz w:val="20"/>
              </w:rPr>
            </w:pPr>
            <w:r>
              <w:rPr>
                <w:spacing w:val="-5"/>
                <w:sz w:val="20"/>
              </w:rPr>
              <w:t>Yes</w:t>
            </w:r>
          </w:p>
        </w:tc>
        <w:tc>
          <w:tcPr>
            <w:tcW w:w="1440" w:type="dxa"/>
          </w:tcPr>
          <w:p w14:paraId="365A984A" w14:textId="77777777" w:rsidR="00E41A5B" w:rsidRDefault="00DA7B02">
            <w:pPr>
              <w:pStyle w:val="TableParagraph"/>
              <w:spacing w:line="220" w:lineRule="exact"/>
              <w:ind w:left="12" w:right="4"/>
              <w:jc w:val="center"/>
              <w:rPr>
                <w:sz w:val="20"/>
              </w:rPr>
            </w:pPr>
            <w:r>
              <w:rPr>
                <w:spacing w:val="-5"/>
                <w:sz w:val="20"/>
              </w:rPr>
              <w:t>Yes</w:t>
            </w:r>
          </w:p>
        </w:tc>
      </w:tr>
      <w:tr w:rsidR="00E41A5B" w14:paraId="365A9852" w14:textId="77777777">
        <w:trPr>
          <w:trHeight w:val="254"/>
        </w:trPr>
        <w:tc>
          <w:tcPr>
            <w:tcW w:w="720" w:type="dxa"/>
          </w:tcPr>
          <w:p w14:paraId="365A984C" w14:textId="77777777" w:rsidR="00E41A5B" w:rsidRDefault="00DA7B02">
            <w:pPr>
              <w:pStyle w:val="TableParagraph"/>
              <w:spacing w:line="223" w:lineRule="exact"/>
              <w:ind w:left="93"/>
              <w:rPr>
                <w:sz w:val="20"/>
              </w:rPr>
            </w:pPr>
            <w:r>
              <w:rPr>
                <w:spacing w:val="-5"/>
                <w:sz w:val="20"/>
              </w:rPr>
              <w:t>DOL</w:t>
            </w:r>
          </w:p>
        </w:tc>
        <w:tc>
          <w:tcPr>
            <w:tcW w:w="5311" w:type="dxa"/>
          </w:tcPr>
          <w:p w14:paraId="365A984D" w14:textId="77777777" w:rsidR="00E41A5B" w:rsidRDefault="00DA7B02">
            <w:pPr>
              <w:pStyle w:val="TableParagraph"/>
              <w:spacing w:line="223" w:lineRule="exact"/>
              <w:ind w:left="76"/>
              <w:rPr>
                <w:sz w:val="20"/>
              </w:rPr>
            </w:pPr>
            <w:r>
              <w:rPr>
                <w:sz w:val="20"/>
              </w:rPr>
              <w:t>JVSG</w:t>
            </w:r>
            <w:r>
              <w:rPr>
                <w:spacing w:val="-5"/>
                <w:sz w:val="20"/>
              </w:rPr>
              <w:t xml:space="preserve"> </w:t>
            </w:r>
            <w:r>
              <w:rPr>
                <w:spacing w:val="-2"/>
                <w:sz w:val="20"/>
              </w:rPr>
              <w:t>programs</w:t>
            </w:r>
          </w:p>
        </w:tc>
        <w:tc>
          <w:tcPr>
            <w:tcW w:w="1260" w:type="dxa"/>
          </w:tcPr>
          <w:p w14:paraId="365A984E" w14:textId="77777777" w:rsidR="00E41A5B" w:rsidRDefault="00DA7B02">
            <w:pPr>
              <w:pStyle w:val="TableParagraph"/>
              <w:spacing w:line="223" w:lineRule="exact"/>
              <w:ind w:left="323"/>
              <w:rPr>
                <w:sz w:val="20"/>
              </w:rPr>
            </w:pPr>
            <w:r>
              <w:rPr>
                <w:spacing w:val="-2"/>
                <w:sz w:val="20"/>
              </w:rPr>
              <w:t>Required</w:t>
            </w:r>
          </w:p>
        </w:tc>
        <w:tc>
          <w:tcPr>
            <w:tcW w:w="1620" w:type="dxa"/>
          </w:tcPr>
          <w:p w14:paraId="365A984F" w14:textId="77777777" w:rsidR="00E41A5B" w:rsidRDefault="00DA7B02">
            <w:pPr>
              <w:pStyle w:val="TableParagraph"/>
              <w:spacing w:before="19" w:line="215" w:lineRule="exact"/>
              <w:ind w:left="141" w:right="134"/>
              <w:jc w:val="center"/>
              <w:rPr>
                <w:sz w:val="20"/>
              </w:rPr>
            </w:pPr>
            <w:r>
              <w:rPr>
                <w:spacing w:val="-4"/>
                <w:sz w:val="20"/>
              </w:rPr>
              <w:t>N/A</w:t>
            </w:r>
            <w:r>
              <w:rPr>
                <w:spacing w:val="-4"/>
                <w:sz w:val="20"/>
                <w:vertAlign w:val="superscript"/>
              </w:rPr>
              <w:t>4</w:t>
            </w:r>
          </w:p>
        </w:tc>
        <w:tc>
          <w:tcPr>
            <w:tcW w:w="1440" w:type="dxa"/>
          </w:tcPr>
          <w:p w14:paraId="365A9850" w14:textId="77777777" w:rsidR="00E41A5B" w:rsidRDefault="00DA7B02">
            <w:pPr>
              <w:pStyle w:val="TableParagraph"/>
              <w:spacing w:line="223" w:lineRule="exact"/>
              <w:ind w:left="9" w:right="13"/>
              <w:jc w:val="center"/>
              <w:rPr>
                <w:sz w:val="20"/>
              </w:rPr>
            </w:pPr>
            <w:r>
              <w:rPr>
                <w:spacing w:val="-5"/>
                <w:sz w:val="20"/>
              </w:rPr>
              <w:t>Yes</w:t>
            </w:r>
          </w:p>
        </w:tc>
        <w:tc>
          <w:tcPr>
            <w:tcW w:w="1440" w:type="dxa"/>
          </w:tcPr>
          <w:p w14:paraId="365A9851" w14:textId="77777777" w:rsidR="00E41A5B" w:rsidRDefault="00DA7B02">
            <w:pPr>
              <w:pStyle w:val="TableParagraph"/>
              <w:spacing w:line="223" w:lineRule="exact"/>
              <w:ind w:left="12" w:right="4"/>
              <w:jc w:val="center"/>
              <w:rPr>
                <w:sz w:val="20"/>
              </w:rPr>
            </w:pPr>
            <w:r>
              <w:rPr>
                <w:spacing w:val="-5"/>
                <w:sz w:val="20"/>
              </w:rPr>
              <w:t>Yes</w:t>
            </w:r>
          </w:p>
        </w:tc>
      </w:tr>
      <w:tr w:rsidR="00E41A5B" w14:paraId="365A9859" w14:textId="77777777">
        <w:trPr>
          <w:trHeight w:val="741"/>
        </w:trPr>
        <w:tc>
          <w:tcPr>
            <w:tcW w:w="720" w:type="dxa"/>
          </w:tcPr>
          <w:p w14:paraId="365A9853" w14:textId="77777777" w:rsidR="00E41A5B" w:rsidRDefault="00DA7B02">
            <w:pPr>
              <w:pStyle w:val="TableParagraph"/>
              <w:spacing w:before="10"/>
              <w:ind w:left="93"/>
              <w:rPr>
                <w:sz w:val="20"/>
              </w:rPr>
            </w:pPr>
            <w:r>
              <w:rPr>
                <w:spacing w:val="-5"/>
                <w:sz w:val="20"/>
              </w:rPr>
              <w:t>DOL</w:t>
            </w:r>
          </w:p>
        </w:tc>
        <w:tc>
          <w:tcPr>
            <w:tcW w:w="5311" w:type="dxa"/>
          </w:tcPr>
          <w:p w14:paraId="365A9854" w14:textId="77777777" w:rsidR="00E41A5B" w:rsidRDefault="00DA7B02">
            <w:pPr>
              <w:pStyle w:val="TableParagraph"/>
              <w:spacing w:line="249" w:lineRule="auto"/>
              <w:ind w:left="76" w:right="764"/>
              <w:jc w:val="both"/>
              <w:rPr>
                <w:sz w:val="20"/>
              </w:rPr>
            </w:pPr>
            <w:r>
              <w:rPr>
                <w:sz w:val="20"/>
              </w:rPr>
              <w:t>REO</w:t>
            </w:r>
            <w:r>
              <w:rPr>
                <w:spacing w:val="-5"/>
                <w:sz w:val="20"/>
              </w:rPr>
              <w:t xml:space="preserve"> </w:t>
            </w:r>
            <w:r>
              <w:rPr>
                <w:sz w:val="20"/>
              </w:rPr>
              <w:t>programs</w:t>
            </w:r>
            <w:r>
              <w:rPr>
                <w:spacing w:val="-6"/>
                <w:sz w:val="20"/>
              </w:rPr>
              <w:t xml:space="preserve"> </w:t>
            </w:r>
            <w:r>
              <w:rPr>
                <w:sz w:val="20"/>
              </w:rPr>
              <w:t>authorized</w:t>
            </w:r>
            <w:r>
              <w:rPr>
                <w:spacing w:val="-4"/>
                <w:sz w:val="20"/>
              </w:rPr>
              <w:t xml:space="preserve"> </w:t>
            </w:r>
            <w:r>
              <w:rPr>
                <w:sz w:val="20"/>
              </w:rPr>
              <w:t>under</w:t>
            </w:r>
            <w:r>
              <w:rPr>
                <w:spacing w:val="-4"/>
                <w:sz w:val="20"/>
              </w:rPr>
              <w:t xml:space="preserve"> </w:t>
            </w:r>
            <w:r>
              <w:rPr>
                <w:sz w:val="20"/>
              </w:rPr>
              <w:t>sec.</w:t>
            </w:r>
            <w:r>
              <w:rPr>
                <w:spacing w:val="-4"/>
                <w:sz w:val="20"/>
              </w:rPr>
              <w:t xml:space="preserve"> </w:t>
            </w:r>
            <w:r>
              <w:rPr>
                <w:sz w:val="20"/>
              </w:rPr>
              <w:t>212</w:t>
            </w:r>
            <w:r>
              <w:rPr>
                <w:spacing w:val="-6"/>
                <w:sz w:val="20"/>
              </w:rPr>
              <w:t xml:space="preserve"> </w:t>
            </w:r>
            <w:r>
              <w:rPr>
                <w:sz w:val="20"/>
              </w:rPr>
              <w:t>of</w:t>
            </w:r>
            <w:r>
              <w:rPr>
                <w:spacing w:val="-7"/>
                <w:sz w:val="20"/>
              </w:rPr>
              <w:t xml:space="preserve"> </w:t>
            </w:r>
            <w:r>
              <w:rPr>
                <w:sz w:val="20"/>
              </w:rPr>
              <w:t>the</w:t>
            </w:r>
            <w:r>
              <w:rPr>
                <w:spacing w:val="-5"/>
                <w:sz w:val="20"/>
              </w:rPr>
              <w:t xml:space="preserve"> </w:t>
            </w:r>
            <w:r>
              <w:rPr>
                <w:sz w:val="20"/>
              </w:rPr>
              <w:t>Second Chance Act of</w:t>
            </w:r>
            <w:r>
              <w:rPr>
                <w:spacing w:val="-2"/>
                <w:sz w:val="20"/>
              </w:rPr>
              <w:t xml:space="preserve"> </w:t>
            </w:r>
            <w:r>
              <w:rPr>
                <w:sz w:val="20"/>
              </w:rPr>
              <w:t>2007 (42 U.S.C. 17532) and WIOA</w:t>
            </w:r>
            <w:r>
              <w:rPr>
                <w:spacing w:val="-2"/>
                <w:sz w:val="20"/>
              </w:rPr>
              <w:t xml:space="preserve"> </w:t>
            </w:r>
            <w:r>
              <w:rPr>
                <w:sz w:val="20"/>
              </w:rPr>
              <w:t xml:space="preserve">sec. </w:t>
            </w:r>
            <w:r>
              <w:rPr>
                <w:spacing w:val="-4"/>
                <w:sz w:val="20"/>
              </w:rPr>
              <w:t>169</w:t>
            </w:r>
          </w:p>
        </w:tc>
        <w:tc>
          <w:tcPr>
            <w:tcW w:w="1260" w:type="dxa"/>
          </w:tcPr>
          <w:p w14:paraId="365A9855" w14:textId="77777777" w:rsidR="00E41A5B" w:rsidRDefault="00DA7B02">
            <w:pPr>
              <w:pStyle w:val="TableParagraph"/>
              <w:spacing w:before="10"/>
              <w:ind w:left="323"/>
              <w:rPr>
                <w:sz w:val="20"/>
              </w:rPr>
            </w:pPr>
            <w:r>
              <w:rPr>
                <w:spacing w:val="-2"/>
                <w:sz w:val="20"/>
              </w:rPr>
              <w:t>Required</w:t>
            </w:r>
          </w:p>
        </w:tc>
        <w:tc>
          <w:tcPr>
            <w:tcW w:w="1620" w:type="dxa"/>
          </w:tcPr>
          <w:p w14:paraId="365A9856" w14:textId="77777777" w:rsidR="00E41A5B" w:rsidRDefault="00DA7B02">
            <w:pPr>
              <w:pStyle w:val="TableParagraph"/>
              <w:spacing w:before="10"/>
              <w:ind w:left="141" w:right="136"/>
              <w:jc w:val="center"/>
              <w:rPr>
                <w:sz w:val="20"/>
              </w:rPr>
            </w:pPr>
            <w:r>
              <w:rPr>
                <w:spacing w:val="-5"/>
                <w:sz w:val="20"/>
              </w:rPr>
              <w:t>Yes</w:t>
            </w:r>
          </w:p>
        </w:tc>
        <w:tc>
          <w:tcPr>
            <w:tcW w:w="1440" w:type="dxa"/>
          </w:tcPr>
          <w:p w14:paraId="365A9857" w14:textId="77777777" w:rsidR="00E41A5B" w:rsidRDefault="00DA7B02">
            <w:pPr>
              <w:pStyle w:val="TableParagraph"/>
              <w:spacing w:before="10"/>
              <w:ind w:left="9" w:right="13"/>
              <w:jc w:val="center"/>
              <w:rPr>
                <w:sz w:val="20"/>
              </w:rPr>
            </w:pPr>
            <w:r>
              <w:rPr>
                <w:spacing w:val="-5"/>
                <w:sz w:val="20"/>
              </w:rPr>
              <w:t>Yes</w:t>
            </w:r>
          </w:p>
        </w:tc>
        <w:tc>
          <w:tcPr>
            <w:tcW w:w="1440" w:type="dxa"/>
          </w:tcPr>
          <w:p w14:paraId="365A9858" w14:textId="77777777" w:rsidR="00E41A5B" w:rsidRDefault="00DA7B02">
            <w:pPr>
              <w:pStyle w:val="TableParagraph"/>
              <w:spacing w:before="10"/>
              <w:ind w:left="12" w:right="4"/>
              <w:jc w:val="center"/>
              <w:rPr>
                <w:sz w:val="20"/>
              </w:rPr>
            </w:pPr>
            <w:r>
              <w:rPr>
                <w:spacing w:val="-5"/>
                <w:sz w:val="20"/>
              </w:rPr>
              <w:t>Yes</w:t>
            </w:r>
          </w:p>
        </w:tc>
      </w:tr>
      <w:tr w:rsidR="00E41A5B" w14:paraId="365A9860" w14:textId="77777777">
        <w:trPr>
          <w:trHeight w:val="239"/>
        </w:trPr>
        <w:tc>
          <w:tcPr>
            <w:tcW w:w="720" w:type="dxa"/>
          </w:tcPr>
          <w:p w14:paraId="365A985A" w14:textId="77777777" w:rsidR="00E41A5B" w:rsidRDefault="00DA7B02">
            <w:pPr>
              <w:pStyle w:val="TableParagraph"/>
              <w:spacing w:line="220" w:lineRule="exact"/>
              <w:ind w:left="93"/>
              <w:rPr>
                <w:sz w:val="20"/>
              </w:rPr>
            </w:pPr>
            <w:r>
              <w:rPr>
                <w:spacing w:val="-5"/>
                <w:sz w:val="20"/>
              </w:rPr>
              <w:t>ED</w:t>
            </w:r>
          </w:p>
        </w:tc>
        <w:tc>
          <w:tcPr>
            <w:tcW w:w="5311" w:type="dxa"/>
          </w:tcPr>
          <w:p w14:paraId="365A985B" w14:textId="77777777" w:rsidR="00E41A5B" w:rsidRDefault="00DA7B02">
            <w:pPr>
              <w:pStyle w:val="TableParagraph"/>
              <w:spacing w:line="220" w:lineRule="exact"/>
              <w:ind w:left="76"/>
              <w:rPr>
                <w:sz w:val="20"/>
              </w:rPr>
            </w:pPr>
            <w:r>
              <w:rPr>
                <w:sz w:val="20"/>
              </w:rPr>
              <w:t>AEFLA</w:t>
            </w:r>
            <w:r>
              <w:rPr>
                <w:spacing w:val="-9"/>
                <w:sz w:val="20"/>
              </w:rPr>
              <w:t xml:space="preserve"> </w:t>
            </w:r>
            <w:r>
              <w:rPr>
                <w:sz w:val="20"/>
              </w:rPr>
              <w:t>program,</w:t>
            </w:r>
            <w:r>
              <w:rPr>
                <w:spacing w:val="-6"/>
                <w:sz w:val="20"/>
              </w:rPr>
              <w:t xml:space="preserve"> </w:t>
            </w:r>
            <w:r>
              <w:rPr>
                <w:sz w:val="20"/>
              </w:rPr>
              <w:t>authorized</w:t>
            </w:r>
            <w:r>
              <w:rPr>
                <w:spacing w:val="-6"/>
                <w:sz w:val="20"/>
              </w:rPr>
              <w:t xml:space="preserve"> </w:t>
            </w:r>
            <w:r>
              <w:rPr>
                <w:sz w:val="20"/>
              </w:rPr>
              <w:t>under</w:t>
            </w:r>
            <w:r>
              <w:rPr>
                <w:spacing w:val="-6"/>
                <w:sz w:val="20"/>
              </w:rPr>
              <w:t xml:space="preserve"> </w:t>
            </w:r>
            <w:r>
              <w:rPr>
                <w:sz w:val="20"/>
              </w:rPr>
              <w:t>WIOA</w:t>
            </w:r>
            <w:r>
              <w:rPr>
                <w:spacing w:val="-9"/>
                <w:sz w:val="20"/>
              </w:rPr>
              <w:t xml:space="preserve"> </w:t>
            </w:r>
            <w:r>
              <w:rPr>
                <w:sz w:val="20"/>
              </w:rPr>
              <w:t>title</w:t>
            </w:r>
            <w:r>
              <w:rPr>
                <w:spacing w:val="-7"/>
                <w:sz w:val="20"/>
              </w:rPr>
              <w:t xml:space="preserve"> </w:t>
            </w:r>
            <w:r>
              <w:rPr>
                <w:spacing w:val="-5"/>
                <w:sz w:val="20"/>
              </w:rPr>
              <w:t>II</w:t>
            </w:r>
          </w:p>
        </w:tc>
        <w:tc>
          <w:tcPr>
            <w:tcW w:w="1260" w:type="dxa"/>
          </w:tcPr>
          <w:p w14:paraId="365A985C" w14:textId="77777777" w:rsidR="00E41A5B" w:rsidRDefault="00DA7B02">
            <w:pPr>
              <w:pStyle w:val="TableParagraph"/>
              <w:spacing w:line="220" w:lineRule="exact"/>
              <w:ind w:left="323"/>
              <w:rPr>
                <w:sz w:val="20"/>
              </w:rPr>
            </w:pPr>
            <w:r>
              <w:rPr>
                <w:spacing w:val="-2"/>
                <w:sz w:val="20"/>
              </w:rPr>
              <w:t>Required</w:t>
            </w:r>
          </w:p>
        </w:tc>
        <w:tc>
          <w:tcPr>
            <w:tcW w:w="1620" w:type="dxa"/>
          </w:tcPr>
          <w:p w14:paraId="365A985D" w14:textId="77777777" w:rsidR="00E41A5B" w:rsidRDefault="00DA7B02">
            <w:pPr>
              <w:pStyle w:val="TableParagraph"/>
              <w:spacing w:line="220" w:lineRule="exact"/>
              <w:ind w:left="141" w:right="136"/>
              <w:jc w:val="center"/>
              <w:rPr>
                <w:sz w:val="20"/>
              </w:rPr>
            </w:pPr>
            <w:r>
              <w:rPr>
                <w:spacing w:val="-5"/>
                <w:sz w:val="20"/>
              </w:rPr>
              <w:t>Yes</w:t>
            </w:r>
          </w:p>
        </w:tc>
        <w:tc>
          <w:tcPr>
            <w:tcW w:w="1440" w:type="dxa"/>
          </w:tcPr>
          <w:p w14:paraId="365A985E" w14:textId="77777777" w:rsidR="00E41A5B" w:rsidRDefault="00DA7B02">
            <w:pPr>
              <w:pStyle w:val="TableParagraph"/>
              <w:spacing w:line="220" w:lineRule="exact"/>
              <w:ind w:left="9" w:right="5"/>
              <w:jc w:val="center"/>
              <w:rPr>
                <w:sz w:val="20"/>
              </w:rPr>
            </w:pPr>
            <w:r>
              <w:rPr>
                <w:spacing w:val="-5"/>
                <w:sz w:val="20"/>
              </w:rPr>
              <w:t>No</w:t>
            </w:r>
          </w:p>
        </w:tc>
        <w:tc>
          <w:tcPr>
            <w:tcW w:w="1440" w:type="dxa"/>
          </w:tcPr>
          <w:p w14:paraId="365A985F" w14:textId="77777777" w:rsidR="00E41A5B" w:rsidRDefault="00DA7B02">
            <w:pPr>
              <w:pStyle w:val="TableParagraph"/>
              <w:spacing w:line="220" w:lineRule="exact"/>
              <w:ind w:left="12" w:right="4"/>
              <w:jc w:val="center"/>
              <w:rPr>
                <w:sz w:val="20"/>
              </w:rPr>
            </w:pPr>
            <w:r>
              <w:rPr>
                <w:spacing w:val="-5"/>
                <w:sz w:val="20"/>
              </w:rPr>
              <w:t>Yes</w:t>
            </w:r>
          </w:p>
        </w:tc>
      </w:tr>
      <w:tr w:rsidR="00E41A5B" w14:paraId="365A9867" w14:textId="77777777">
        <w:trPr>
          <w:trHeight w:val="738"/>
        </w:trPr>
        <w:tc>
          <w:tcPr>
            <w:tcW w:w="720" w:type="dxa"/>
          </w:tcPr>
          <w:p w14:paraId="365A9861" w14:textId="77777777" w:rsidR="00E41A5B" w:rsidRDefault="00DA7B02">
            <w:pPr>
              <w:pStyle w:val="TableParagraph"/>
              <w:spacing w:before="10"/>
              <w:ind w:left="93"/>
              <w:rPr>
                <w:sz w:val="20"/>
              </w:rPr>
            </w:pPr>
            <w:r>
              <w:rPr>
                <w:spacing w:val="-5"/>
                <w:sz w:val="20"/>
              </w:rPr>
              <w:t>ED</w:t>
            </w:r>
          </w:p>
        </w:tc>
        <w:tc>
          <w:tcPr>
            <w:tcW w:w="5311" w:type="dxa"/>
          </w:tcPr>
          <w:p w14:paraId="365A9862" w14:textId="77777777" w:rsidR="00E41A5B" w:rsidRDefault="00DA7B02">
            <w:pPr>
              <w:pStyle w:val="TableParagraph"/>
              <w:spacing w:line="249" w:lineRule="auto"/>
              <w:ind w:left="76" w:right="981"/>
              <w:jc w:val="both"/>
              <w:rPr>
                <w:sz w:val="20"/>
              </w:rPr>
            </w:pPr>
            <w:r>
              <w:rPr>
                <w:sz w:val="20"/>
              </w:rPr>
              <w:t>The State VR</w:t>
            </w:r>
            <w:r>
              <w:rPr>
                <w:spacing w:val="-1"/>
                <w:sz w:val="20"/>
              </w:rPr>
              <w:t xml:space="preserve"> </w:t>
            </w:r>
            <w:r>
              <w:rPr>
                <w:sz w:val="20"/>
              </w:rPr>
              <w:t>program</w:t>
            </w:r>
            <w:r>
              <w:rPr>
                <w:spacing w:val="-4"/>
                <w:sz w:val="20"/>
              </w:rPr>
              <w:t xml:space="preserve"> </w:t>
            </w:r>
            <w:r>
              <w:rPr>
                <w:sz w:val="20"/>
              </w:rPr>
              <w:t>authorized under title I of</w:t>
            </w:r>
            <w:r>
              <w:rPr>
                <w:spacing w:val="-2"/>
                <w:sz w:val="20"/>
              </w:rPr>
              <w:t xml:space="preserve"> </w:t>
            </w:r>
            <w:r>
              <w:rPr>
                <w:sz w:val="20"/>
              </w:rPr>
              <w:t>the Rehabilitation</w:t>
            </w:r>
            <w:r>
              <w:rPr>
                <w:spacing w:val="-4"/>
                <w:sz w:val="20"/>
              </w:rPr>
              <w:t xml:space="preserve"> </w:t>
            </w:r>
            <w:r>
              <w:rPr>
                <w:sz w:val="20"/>
              </w:rPr>
              <w:t>Act</w:t>
            </w:r>
            <w:r>
              <w:rPr>
                <w:spacing w:val="-5"/>
                <w:sz w:val="20"/>
              </w:rPr>
              <w:t xml:space="preserve"> </w:t>
            </w:r>
            <w:r>
              <w:rPr>
                <w:sz w:val="20"/>
              </w:rPr>
              <w:t>of</w:t>
            </w:r>
            <w:r>
              <w:rPr>
                <w:spacing w:val="-7"/>
                <w:sz w:val="20"/>
              </w:rPr>
              <w:t xml:space="preserve"> </w:t>
            </w:r>
            <w:r>
              <w:rPr>
                <w:sz w:val="20"/>
              </w:rPr>
              <w:t>1973</w:t>
            </w:r>
            <w:r>
              <w:rPr>
                <w:spacing w:val="-4"/>
                <w:sz w:val="20"/>
              </w:rPr>
              <w:t xml:space="preserve"> </w:t>
            </w:r>
            <w:r>
              <w:rPr>
                <w:sz w:val="20"/>
              </w:rPr>
              <w:t>(29</w:t>
            </w:r>
            <w:r>
              <w:rPr>
                <w:spacing w:val="-6"/>
                <w:sz w:val="20"/>
              </w:rPr>
              <w:t xml:space="preserve"> </w:t>
            </w:r>
            <w:r>
              <w:rPr>
                <w:sz w:val="20"/>
              </w:rPr>
              <w:t>U.S.C.720</w:t>
            </w:r>
            <w:r>
              <w:rPr>
                <w:spacing w:val="-4"/>
                <w:sz w:val="20"/>
              </w:rPr>
              <w:t xml:space="preserve"> </w:t>
            </w:r>
            <w:r>
              <w:rPr>
                <w:sz w:val="20"/>
              </w:rPr>
              <w:t>et</w:t>
            </w:r>
            <w:r>
              <w:rPr>
                <w:spacing w:val="-5"/>
                <w:sz w:val="20"/>
              </w:rPr>
              <w:t xml:space="preserve"> </w:t>
            </w:r>
            <w:r>
              <w:rPr>
                <w:sz w:val="20"/>
              </w:rPr>
              <w:t>seq.),</w:t>
            </w:r>
            <w:r>
              <w:rPr>
                <w:spacing w:val="-4"/>
                <w:sz w:val="20"/>
              </w:rPr>
              <w:t xml:space="preserve"> </w:t>
            </w:r>
            <w:r>
              <w:rPr>
                <w:sz w:val="20"/>
              </w:rPr>
              <w:t>as amended by WIOA title IV</w:t>
            </w:r>
          </w:p>
        </w:tc>
        <w:tc>
          <w:tcPr>
            <w:tcW w:w="1260" w:type="dxa"/>
          </w:tcPr>
          <w:p w14:paraId="365A9863" w14:textId="77777777" w:rsidR="00E41A5B" w:rsidRDefault="00DA7B02">
            <w:pPr>
              <w:pStyle w:val="TableParagraph"/>
              <w:spacing w:before="10"/>
              <w:ind w:left="323"/>
              <w:rPr>
                <w:sz w:val="20"/>
              </w:rPr>
            </w:pPr>
            <w:r>
              <w:rPr>
                <w:spacing w:val="-2"/>
                <w:sz w:val="20"/>
              </w:rPr>
              <w:t>Required</w:t>
            </w:r>
          </w:p>
        </w:tc>
        <w:tc>
          <w:tcPr>
            <w:tcW w:w="1620" w:type="dxa"/>
          </w:tcPr>
          <w:p w14:paraId="365A9864" w14:textId="77777777" w:rsidR="00E41A5B" w:rsidRDefault="00DA7B02">
            <w:pPr>
              <w:pStyle w:val="TableParagraph"/>
              <w:spacing w:before="10"/>
              <w:ind w:left="141" w:right="134"/>
              <w:jc w:val="center"/>
              <w:rPr>
                <w:sz w:val="20"/>
              </w:rPr>
            </w:pPr>
            <w:r>
              <w:rPr>
                <w:spacing w:val="-4"/>
                <w:sz w:val="20"/>
              </w:rPr>
              <w:t>N/A</w:t>
            </w:r>
            <w:r>
              <w:rPr>
                <w:spacing w:val="-4"/>
                <w:sz w:val="20"/>
                <w:vertAlign w:val="superscript"/>
              </w:rPr>
              <w:t>4</w:t>
            </w:r>
          </w:p>
        </w:tc>
        <w:tc>
          <w:tcPr>
            <w:tcW w:w="1440" w:type="dxa"/>
          </w:tcPr>
          <w:p w14:paraId="365A9865" w14:textId="77777777" w:rsidR="00E41A5B" w:rsidRDefault="00DA7B02">
            <w:pPr>
              <w:pStyle w:val="TableParagraph"/>
              <w:spacing w:before="10"/>
              <w:ind w:left="9" w:right="13"/>
              <w:jc w:val="center"/>
              <w:rPr>
                <w:sz w:val="20"/>
              </w:rPr>
            </w:pPr>
            <w:r>
              <w:rPr>
                <w:spacing w:val="-5"/>
                <w:sz w:val="20"/>
              </w:rPr>
              <w:t>Yes</w:t>
            </w:r>
          </w:p>
        </w:tc>
        <w:tc>
          <w:tcPr>
            <w:tcW w:w="1440" w:type="dxa"/>
          </w:tcPr>
          <w:p w14:paraId="365A9866" w14:textId="77777777" w:rsidR="00E41A5B" w:rsidRDefault="00DA7B02">
            <w:pPr>
              <w:pStyle w:val="TableParagraph"/>
              <w:spacing w:before="10"/>
              <w:ind w:left="12" w:right="4"/>
              <w:jc w:val="center"/>
              <w:rPr>
                <w:sz w:val="20"/>
              </w:rPr>
            </w:pPr>
            <w:r>
              <w:rPr>
                <w:spacing w:val="-5"/>
                <w:sz w:val="20"/>
              </w:rPr>
              <w:t>Yes</w:t>
            </w:r>
          </w:p>
        </w:tc>
      </w:tr>
      <w:tr w:rsidR="00E41A5B" w14:paraId="365A986F" w14:textId="77777777">
        <w:trPr>
          <w:trHeight w:val="760"/>
        </w:trPr>
        <w:tc>
          <w:tcPr>
            <w:tcW w:w="720" w:type="dxa"/>
          </w:tcPr>
          <w:p w14:paraId="365A9868" w14:textId="77777777" w:rsidR="00E41A5B" w:rsidRDefault="00DA7B02">
            <w:pPr>
              <w:pStyle w:val="TableParagraph"/>
              <w:spacing w:before="12"/>
              <w:ind w:left="93"/>
              <w:rPr>
                <w:sz w:val="20"/>
              </w:rPr>
            </w:pPr>
            <w:r>
              <w:rPr>
                <w:spacing w:val="-5"/>
                <w:sz w:val="20"/>
              </w:rPr>
              <w:t>ED</w:t>
            </w:r>
          </w:p>
        </w:tc>
        <w:tc>
          <w:tcPr>
            <w:tcW w:w="5311" w:type="dxa"/>
          </w:tcPr>
          <w:p w14:paraId="365A9869" w14:textId="77777777" w:rsidR="00E41A5B" w:rsidRDefault="00DA7B02">
            <w:pPr>
              <w:pStyle w:val="TableParagraph"/>
              <w:spacing w:before="12"/>
              <w:ind w:left="76"/>
              <w:rPr>
                <w:sz w:val="20"/>
              </w:rPr>
            </w:pPr>
            <w:r>
              <w:rPr>
                <w:sz w:val="20"/>
              </w:rPr>
              <w:t>Career</w:t>
            </w:r>
            <w:r>
              <w:rPr>
                <w:spacing w:val="-6"/>
                <w:sz w:val="20"/>
              </w:rPr>
              <w:t xml:space="preserve"> </w:t>
            </w:r>
            <w:r>
              <w:rPr>
                <w:sz w:val="20"/>
              </w:rPr>
              <w:t>and</w:t>
            </w:r>
            <w:r>
              <w:rPr>
                <w:spacing w:val="-6"/>
                <w:sz w:val="20"/>
              </w:rPr>
              <w:t xml:space="preserve"> </w:t>
            </w:r>
            <w:r>
              <w:rPr>
                <w:sz w:val="20"/>
              </w:rPr>
              <w:t>technical</w:t>
            </w:r>
            <w:r>
              <w:rPr>
                <w:spacing w:val="-7"/>
                <w:sz w:val="20"/>
              </w:rPr>
              <w:t xml:space="preserve"> </w:t>
            </w:r>
            <w:r>
              <w:rPr>
                <w:sz w:val="20"/>
              </w:rPr>
              <w:t>education</w:t>
            </w:r>
            <w:r>
              <w:rPr>
                <w:spacing w:val="-7"/>
                <w:sz w:val="20"/>
              </w:rPr>
              <w:t xml:space="preserve"> </w:t>
            </w:r>
            <w:r>
              <w:rPr>
                <w:sz w:val="20"/>
              </w:rPr>
              <w:t>programs</w:t>
            </w:r>
            <w:r>
              <w:rPr>
                <w:spacing w:val="-8"/>
                <w:sz w:val="20"/>
              </w:rPr>
              <w:t xml:space="preserve"> </w:t>
            </w:r>
            <w:r>
              <w:rPr>
                <w:sz w:val="20"/>
              </w:rPr>
              <w:t>at</w:t>
            </w:r>
            <w:r>
              <w:rPr>
                <w:spacing w:val="-7"/>
                <w:sz w:val="20"/>
              </w:rPr>
              <w:t xml:space="preserve"> </w:t>
            </w:r>
            <w:r>
              <w:rPr>
                <w:spacing w:val="-5"/>
                <w:sz w:val="20"/>
              </w:rPr>
              <w:t>the</w:t>
            </w:r>
          </w:p>
          <w:p w14:paraId="365A986A" w14:textId="77777777" w:rsidR="00E41A5B" w:rsidRDefault="00DA7B02">
            <w:pPr>
              <w:pStyle w:val="TableParagraph"/>
              <w:spacing w:line="250" w:lineRule="atLeast"/>
              <w:ind w:left="76" w:right="240"/>
              <w:rPr>
                <w:sz w:val="20"/>
              </w:rPr>
            </w:pPr>
            <w:r>
              <w:rPr>
                <w:sz w:val="20"/>
              </w:rPr>
              <w:t>postsecondary</w:t>
            </w:r>
            <w:r>
              <w:rPr>
                <w:spacing w:val="-10"/>
                <w:sz w:val="20"/>
              </w:rPr>
              <w:t xml:space="preserve"> </w:t>
            </w:r>
            <w:r>
              <w:rPr>
                <w:sz w:val="20"/>
              </w:rPr>
              <w:t>level,</w:t>
            </w:r>
            <w:r>
              <w:rPr>
                <w:spacing w:val="-5"/>
                <w:sz w:val="20"/>
              </w:rPr>
              <w:t xml:space="preserve"> </w:t>
            </w:r>
            <w:r>
              <w:rPr>
                <w:sz w:val="20"/>
              </w:rPr>
              <w:t>authorized</w:t>
            </w:r>
            <w:r>
              <w:rPr>
                <w:spacing w:val="-5"/>
                <w:sz w:val="20"/>
              </w:rPr>
              <w:t xml:space="preserve"> </w:t>
            </w:r>
            <w:r>
              <w:rPr>
                <w:sz w:val="20"/>
              </w:rPr>
              <w:t>under</w:t>
            </w:r>
            <w:r>
              <w:rPr>
                <w:spacing w:val="-5"/>
                <w:sz w:val="20"/>
              </w:rPr>
              <w:t xml:space="preserve"> </w:t>
            </w:r>
            <w:r>
              <w:rPr>
                <w:sz w:val="20"/>
              </w:rPr>
              <w:t>the</w:t>
            </w:r>
            <w:r>
              <w:rPr>
                <w:spacing w:val="-6"/>
                <w:sz w:val="20"/>
              </w:rPr>
              <w:t xml:space="preserve"> </w:t>
            </w:r>
            <w:r>
              <w:rPr>
                <w:sz w:val="20"/>
              </w:rPr>
              <w:t>Carl</w:t>
            </w:r>
            <w:r>
              <w:rPr>
                <w:spacing w:val="-6"/>
                <w:sz w:val="20"/>
              </w:rPr>
              <w:t xml:space="preserve"> </w:t>
            </w:r>
            <w:r>
              <w:rPr>
                <w:sz w:val="20"/>
              </w:rPr>
              <w:t>D.</w:t>
            </w:r>
            <w:r>
              <w:rPr>
                <w:spacing w:val="-5"/>
                <w:sz w:val="20"/>
              </w:rPr>
              <w:t xml:space="preserve"> </w:t>
            </w:r>
            <w:r>
              <w:rPr>
                <w:sz w:val="20"/>
              </w:rPr>
              <w:t>Perkins Career and Technical Education Act of 2006</w:t>
            </w:r>
          </w:p>
        </w:tc>
        <w:tc>
          <w:tcPr>
            <w:tcW w:w="1260" w:type="dxa"/>
          </w:tcPr>
          <w:p w14:paraId="365A986B" w14:textId="77777777" w:rsidR="00E41A5B" w:rsidRDefault="00DA7B02">
            <w:pPr>
              <w:pStyle w:val="TableParagraph"/>
              <w:spacing w:before="12"/>
              <w:ind w:left="323"/>
              <w:rPr>
                <w:sz w:val="20"/>
              </w:rPr>
            </w:pPr>
            <w:r>
              <w:rPr>
                <w:spacing w:val="-2"/>
                <w:sz w:val="20"/>
              </w:rPr>
              <w:t>Required</w:t>
            </w:r>
          </w:p>
        </w:tc>
        <w:tc>
          <w:tcPr>
            <w:tcW w:w="1620" w:type="dxa"/>
          </w:tcPr>
          <w:p w14:paraId="365A986C" w14:textId="77777777" w:rsidR="00E41A5B" w:rsidRDefault="00DA7B02">
            <w:pPr>
              <w:pStyle w:val="TableParagraph"/>
              <w:spacing w:before="12"/>
              <w:ind w:left="141" w:right="136"/>
              <w:jc w:val="center"/>
              <w:rPr>
                <w:sz w:val="20"/>
              </w:rPr>
            </w:pPr>
            <w:r>
              <w:rPr>
                <w:spacing w:val="-5"/>
                <w:sz w:val="20"/>
              </w:rPr>
              <w:t>Yes</w:t>
            </w:r>
          </w:p>
        </w:tc>
        <w:tc>
          <w:tcPr>
            <w:tcW w:w="1440" w:type="dxa"/>
          </w:tcPr>
          <w:p w14:paraId="365A986D" w14:textId="77777777" w:rsidR="00E41A5B" w:rsidRDefault="00DA7B02">
            <w:pPr>
              <w:pStyle w:val="TableParagraph"/>
              <w:spacing w:before="12"/>
              <w:ind w:left="9" w:right="5"/>
              <w:jc w:val="center"/>
              <w:rPr>
                <w:sz w:val="20"/>
              </w:rPr>
            </w:pPr>
            <w:r>
              <w:rPr>
                <w:spacing w:val="-5"/>
                <w:sz w:val="20"/>
              </w:rPr>
              <w:t>No</w:t>
            </w:r>
          </w:p>
        </w:tc>
        <w:tc>
          <w:tcPr>
            <w:tcW w:w="1440" w:type="dxa"/>
          </w:tcPr>
          <w:p w14:paraId="365A986E" w14:textId="77777777" w:rsidR="00E41A5B" w:rsidRDefault="00DA7B02">
            <w:pPr>
              <w:pStyle w:val="TableParagraph"/>
              <w:spacing w:before="12"/>
              <w:ind w:left="12" w:right="4"/>
              <w:jc w:val="center"/>
              <w:rPr>
                <w:sz w:val="20"/>
              </w:rPr>
            </w:pPr>
            <w:r>
              <w:rPr>
                <w:spacing w:val="-5"/>
                <w:sz w:val="20"/>
              </w:rPr>
              <w:t>Yes</w:t>
            </w:r>
          </w:p>
        </w:tc>
      </w:tr>
      <w:tr w:rsidR="00E41A5B" w14:paraId="365A9876" w14:textId="77777777">
        <w:trPr>
          <w:trHeight w:val="1000"/>
        </w:trPr>
        <w:tc>
          <w:tcPr>
            <w:tcW w:w="720" w:type="dxa"/>
          </w:tcPr>
          <w:p w14:paraId="365A9870" w14:textId="77777777" w:rsidR="00E41A5B" w:rsidRDefault="00DA7B02">
            <w:pPr>
              <w:pStyle w:val="TableParagraph"/>
              <w:spacing w:before="10"/>
              <w:ind w:left="93"/>
              <w:rPr>
                <w:sz w:val="20"/>
              </w:rPr>
            </w:pPr>
            <w:r>
              <w:rPr>
                <w:spacing w:val="-5"/>
                <w:sz w:val="20"/>
              </w:rPr>
              <w:t>HUD</w:t>
            </w:r>
          </w:p>
        </w:tc>
        <w:tc>
          <w:tcPr>
            <w:tcW w:w="5311" w:type="dxa"/>
          </w:tcPr>
          <w:p w14:paraId="365A9871" w14:textId="77777777" w:rsidR="00E41A5B" w:rsidRDefault="00DA7B02">
            <w:pPr>
              <w:pStyle w:val="TableParagraph"/>
              <w:spacing w:before="10"/>
              <w:ind w:left="76"/>
              <w:rPr>
                <w:sz w:val="20"/>
              </w:rPr>
            </w:pPr>
            <w:r>
              <w:rPr>
                <w:sz w:val="20"/>
              </w:rPr>
              <w:t>Employment</w:t>
            </w:r>
            <w:r>
              <w:rPr>
                <w:spacing w:val="-7"/>
                <w:sz w:val="20"/>
              </w:rPr>
              <w:t xml:space="preserve"> </w:t>
            </w:r>
            <w:r>
              <w:rPr>
                <w:sz w:val="20"/>
              </w:rPr>
              <w:t>and</w:t>
            </w:r>
            <w:r>
              <w:rPr>
                <w:spacing w:val="-5"/>
                <w:sz w:val="20"/>
              </w:rPr>
              <w:t xml:space="preserve"> </w:t>
            </w:r>
            <w:r>
              <w:rPr>
                <w:sz w:val="20"/>
              </w:rPr>
              <w:t>training</w:t>
            </w:r>
            <w:r>
              <w:rPr>
                <w:spacing w:val="-7"/>
                <w:sz w:val="20"/>
              </w:rPr>
              <w:t xml:space="preserve"> </w:t>
            </w:r>
            <w:r>
              <w:rPr>
                <w:sz w:val="20"/>
              </w:rPr>
              <w:t>activities</w:t>
            </w:r>
            <w:r>
              <w:rPr>
                <w:spacing w:val="-8"/>
                <w:sz w:val="20"/>
              </w:rPr>
              <w:t xml:space="preserve"> </w:t>
            </w:r>
            <w:r>
              <w:rPr>
                <w:sz w:val="20"/>
              </w:rPr>
              <w:t>carried</w:t>
            </w:r>
            <w:r>
              <w:rPr>
                <w:spacing w:val="-5"/>
                <w:sz w:val="20"/>
              </w:rPr>
              <w:t xml:space="preserve"> </w:t>
            </w:r>
            <w:r>
              <w:rPr>
                <w:sz w:val="20"/>
              </w:rPr>
              <w:t>out</w:t>
            </w:r>
            <w:r>
              <w:rPr>
                <w:spacing w:val="-6"/>
                <w:sz w:val="20"/>
              </w:rPr>
              <w:t xml:space="preserve"> </w:t>
            </w:r>
            <w:r>
              <w:rPr>
                <w:sz w:val="20"/>
              </w:rPr>
              <w:t>by</w:t>
            </w:r>
            <w:r>
              <w:rPr>
                <w:spacing w:val="-10"/>
                <w:sz w:val="20"/>
              </w:rPr>
              <w:t xml:space="preserve"> </w:t>
            </w:r>
            <w:r>
              <w:rPr>
                <w:spacing w:val="-5"/>
                <w:sz w:val="20"/>
              </w:rPr>
              <w:t>HUD</w:t>
            </w:r>
          </w:p>
        </w:tc>
        <w:tc>
          <w:tcPr>
            <w:tcW w:w="1260" w:type="dxa"/>
          </w:tcPr>
          <w:p w14:paraId="365A9872" w14:textId="77777777" w:rsidR="00E41A5B" w:rsidRDefault="00DA7B02">
            <w:pPr>
              <w:pStyle w:val="TableParagraph"/>
              <w:spacing w:before="10"/>
              <w:ind w:left="323"/>
              <w:rPr>
                <w:sz w:val="20"/>
              </w:rPr>
            </w:pPr>
            <w:r>
              <w:rPr>
                <w:spacing w:val="-2"/>
                <w:sz w:val="20"/>
              </w:rPr>
              <w:t>Required</w:t>
            </w:r>
          </w:p>
        </w:tc>
        <w:tc>
          <w:tcPr>
            <w:tcW w:w="1620" w:type="dxa"/>
          </w:tcPr>
          <w:p w14:paraId="365A9873" w14:textId="77777777" w:rsidR="00E41A5B" w:rsidRDefault="00DA7B02">
            <w:pPr>
              <w:pStyle w:val="TableParagraph"/>
              <w:spacing w:line="247" w:lineRule="auto"/>
              <w:ind w:left="278" w:firstLine="158"/>
              <w:rPr>
                <w:sz w:val="20"/>
              </w:rPr>
            </w:pPr>
            <w:r>
              <w:rPr>
                <w:spacing w:val="-2"/>
                <w:sz w:val="20"/>
              </w:rPr>
              <w:t>Consult partners’ authorizing documents.</w:t>
            </w:r>
          </w:p>
        </w:tc>
        <w:tc>
          <w:tcPr>
            <w:tcW w:w="1440" w:type="dxa"/>
          </w:tcPr>
          <w:p w14:paraId="365A9874" w14:textId="77777777" w:rsidR="00E41A5B" w:rsidRDefault="00DA7B02">
            <w:pPr>
              <w:pStyle w:val="TableParagraph"/>
              <w:spacing w:line="247" w:lineRule="auto"/>
              <w:ind w:left="225" w:right="100" w:firstLine="160"/>
              <w:rPr>
                <w:sz w:val="20"/>
              </w:rPr>
            </w:pPr>
            <w:r>
              <w:rPr>
                <w:spacing w:val="-2"/>
                <w:sz w:val="20"/>
              </w:rPr>
              <w:t>Consult partners’ authorizing documents.</w:t>
            </w:r>
          </w:p>
        </w:tc>
        <w:tc>
          <w:tcPr>
            <w:tcW w:w="1440" w:type="dxa"/>
          </w:tcPr>
          <w:p w14:paraId="365A9875" w14:textId="77777777" w:rsidR="00E41A5B" w:rsidRDefault="00DA7B02">
            <w:pPr>
              <w:pStyle w:val="TableParagraph"/>
              <w:spacing w:before="10"/>
              <w:ind w:left="12" w:right="4"/>
              <w:jc w:val="center"/>
              <w:rPr>
                <w:sz w:val="20"/>
              </w:rPr>
            </w:pPr>
            <w:r>
              <w:rPr>
                <w:spacing w:val="-5"/>
                <w:sz w:val="20"/>
              </w:rPr>
              <w:t>Yes</w:t>
            </w:r>
          </w:p>
        </w:tc>
      </w:tr>
      <w:tr w:rsidR="00E41A5B" w14:paraId="365A987D" w14:textId="77777777">
        <w:trPr>
          <w:trHeight w:val="1000"/>
        </w:trPr>
        <w:tc>
          <w:tcPr>
            <w:tcW w:w="720" w:type="dxa"/>
          </w:tcPr>
          <w:p w14:paraId="365A9877" w14:textId="77777777" w:rsidR="00E41A5B" w:rsidRDefault="00DA7B02">
            <w:pPr>
              <w:pStyle w:val="TableParagraph"/>
              <w:spacing w:before="10"/>
              <w:ind w:left="93"/>
              <w:rPr>
                <w:sz w:val="20"/>
              </w:rPr>
            </w:pPr>
            <w:r>
              <w:rPr>
                <w:spacing w:val="-5"/>
                <w:sz w:val="20"/>
              </w:rPr>
              <w:t>HHS</w:t>
            </w:r>
          </w:p>
        </w:tc>
        <w:tc>
          <w:tcPr>
            <w:tcW w:w="5311" w:type="dxa"/>
          </w:tcPr>
          <w:p w14:paraId="365A9878" w14:textId="77777777" w:rsidR="00E41A5B" w:rsidRDefault="00DA7B02">
            <w:pPr>
              <w:pStyle w:val="TableParagraph"/>
              <w:spacing w:line="242" w:lineRule="auto"/>
              <w:ind w:left="76" w:right="240"/>
              <w:rPr>
                <w:sz w:val="20"/>
              </w:rPr>
            </w:pPr>
            <w:r>
              <w:rPr>
                <w:sz w:val="20"/>
              </w:rPr>
              <w:t>Employment</w:t>
            </w:r>
            <w:r>
              <w:rPr>
                <w:spacing w:val="-6"/>
                <w:sz w:val="20"/>
              </w:rPr>
              <w:t xml:space="preserve"> </w:t>
            </w:r>
            <w:r>
              <w:rPr>
                <w:sz w:val="20"/>
              </w:rPr>
              <w:t>and</w:t>
            </w:r>
            <w:r>
              <w:rPr>
                <w:spacing w:val="-6"/>
                <w:sz w:val="20"/>
              </w:rPr>
              <w:t xml:space="preserve"> </w:t>
            </w:r>
            <w:r>
              <w:rPr>
                <w:sz w:val="20"/>
              </w:rPr>
              <w:t>training</w:t>
            </w:r>
            <w:r>
              <w:rPr>
                <w:spacing w:val="-7"/>
                <w:sz w:val="20"/>
              </w:rPr>
              <w:t xml:space="preserve"> </w:t>
            </w:r>
            <w:r>
              <w:rPr>
                <w:sz w:val="20"/>
              </w:rPr>
              <w:t>activities</w:t>
            </w:r>
            <w:r>
              <w:rPr>
                <w:spacing w:val="-7"/>
                <w:sz w:val="20"/>
              </w:rPr>
              <w:t xml:space="preserve"> </w:t>
            </w:r>
            <w:r>
              <w:rPr>
                <w:sz w:val="20"/>
              </w:rPr>
              <w:t>carried</w:t>
            </w:r>
            <w:r>
              <w:rPr>
                <w:spacing w:val="-6"/>
                <w:sz w:val="20"/>
              </w:rPr>
              <w:t xml:space="preserve"> </w:t>
            </w:r>
            <w:r>
              <w:rPr>
                <w:sz w:val="20"/>
              </w:rPr>
              <w:t>out</w:t>
            </w:r>
            <w:r>
              <w:rPr>
                <w:spacing w:val="-6"/>
                <w:sz w:val="20"/>
              </w:rPr>
              <w:t xml:space="preserve"> </w:t>
            </w:r>
            <w:r>
              <w:rPr>
                <w:sz w:val="20"/>
              </w:rPr>
              <w:t>under</w:t>
            </w:r>
            <w:r>
              <w:rPr>
                <w:spacing w:val="-6"/>
                <w:sz w:val="20"/>
              </w:rPr>
              <w:t xml:space="preserve"> </w:t>
            </w:r>
            <w:r>
              <w:rPr>
                <w:sz w:val="20"/>
              </w:rPr>
              <w:t>the CSBG programs</w:t>
            </w:r>
          </w:p>
        </w:tc>
        <w:tc>
          <w:tcPr>
            <w:tcW w:w="1260" w:type="dxa"/>
          </w:tcPr>
          <w:p w14:paraId="365A9879" w14:textId="77777777" w:rsidR="00E41A5B" w:rsidRDefault="00DA7B02">
            <w:pPr>
              <w:pStyle w:val="TableParagraph"/>
              <w:spacing w:before="10"/>
              <w:ind w:left="323"/>
              <w:rPr>
                <w:sz w:val="20"/>
              </w:rPr>
            </w:pPr>
            <w:r>
              <w:rPr>
                <w:spacing w:val="-2"/>
                <w:sz w:val="20"/>
              </w:rPr>
              <w:t>Required</w:t>
            </w:r>
          </w:p>
        </w:tc>
        <w:tc>
          <w:tcPr>
            <w:tcW w:w="1620" w:type="dxa"/>
          </w:tcPr>
          <w:p w14:paraId="365A987A" w14:textId="77777777" w:rsidR="00E41A5B" w:rsidRDefault="00DA7B02">
            <w:pPr>
              <w:pStyle w:val="TableParagraph"/>
              <w:spacing w:line="247" w:lineRule="auto"/>
              <w:ind w:left="278" w:firstLine="158"/>
              <w:rPr>
                <w:sz w:val="20"/>
              </w:rPr>
            </w:pPr>
            <w:r>
              <w:rPr>
                <w:spacing w:val="-2"/>
                <w:sz w:val="20"/>
              </w:rPr>
              <w:t>Consult partners’ authorizing documents.</w:t>
            </w:r>
          </w:p>
        </w:tc>
        <w:tc>
          <w:tcPr>
            <w:tcW w:w="1440" w:type="dxa"/>
          </w:tcPr>
          <w:p w14:paraId="365A987B" w14:textId="77777777" w:rsidR="00E41A5B" w:rsidRDefault="00DA7B02">
            <w:pPr>
              <w:pStyle w:val="TableParagraph"/>
              <w:spacing w:line="247" w:lineRule="auto"/>
              <w:ind w:left="225" w:right="100" w:firstLine="160"/>
              <w:rPr>
                <w:sz w:val="20"/>
              </w:rPr>
            </w:pPr>
            <w:r>
              <w:rPr>
                <w:spacing w:val="-2"/>
                <w:sz w:val="20"/>
              </w:rPr>
              <w:t>Consult partners’ authorizing documents.</w:t>
            </w:r>
          </w:p>
        </w:tc>
        <w:tc>
          <w:tcPr>
            <w:tcW w:w="1440" w:type="dxa"/>
          </w:tcPr>
          <w:p w14:paraId="365A987C" w14:textId="77777777" w:rsidR="00E41A5B" w:rsidRDefault="00DA7B02">
            <w:pPr>
              <w:pStyle w:val="TableParagraph"/>
              <w:spacing w:before="10"/>
              <w:ind w:left="12" w:right="4"/>
              <w:jc w:val="center"/>
              <w:rPr>
                <w:sz w:val="20"/>
              </w:rPr>
            </w:pPr>
            <w:r>
              <w:rPr>
                <w:spacing w:val="-5"/>
                <w:sz w:val="20"/>
              </w:rPr>
              <w:t>Yes</w:t>
            </w:r>
          </w:p>
        </w:tc>
      </w:tr>
      <w:tr w:rsidR="00E41A5B" w14:paraId="365A9884" w14:textId="77777777">
        <w:trPr>
          <w:trHeight w:val="280"/>
        </w:trPr>
        <w:tc>
          <w:tcPr>
            <w:tcW w:w="720" w:type="dxa"/>
          </w:tcPr>
          <w:p w14:paraId="365A987E" w14:textId="77777777" w:rsidR="00E41A5B" w:rsidRDefault="00DA7B02">
            <w:pPr>
              <w:pStyle w:val="TableParagraph"/>
              <w:spacing w:before="10"/>
              <w:ind w:left="93"/>
              <w:rPr>
                <w:sz w:val="20"/>
              </w:rPr>
            </w:pPr>
            <w:r>
              <w:rPr>
                <w:spacing w:val="-5"/>
                <w:sz w:val="20"/>
              </w:rPr>
              <w:t>HHS</w:t>
            </w:r>
          </w:p>
        </w:tc>
        <w:tc>
          <w:tcPr>
            <w:tcW w:w="5311" w:type="dxa"/>
          </w:tcPr>
          <w:p w14:paraId="365A987F" w14:textId="77777777" w:rsidR="00E41A5B" w:rsidRDefault="00DA7B02">
            <w:pPr>
              <w:pStyle w:val="TableParagraph"/>
              <w:spacing w:before="10"/>
              <w:ind w:left="76"/>
              <w:rPr>
                <w:sz w:val="20"/>
              </w:rPr>
            </w:pPr>
            <w:r>
              <w:rPr>
                <w:spacing w:val="-4"/>
                <w:sz w:val="20"/>
              </w:rPr>
              <w:t>TANF</w:t>
            </w:r>
          </w:p>
        </w:tc>
        <w:tc>
          <w:tcPr>
            <w:tcW w:w="1260" w:type="dxa"/>
          </w:tcPr>
          <w:p w14:paraId="365A9880" w14:textId="77777777" w:rsidR="00E41A5B" w:rsidRDefault="00DA7B02">
            <w:pPr>
              <w:pStyle w:val="TableParagraph"/>
              <w:spacing w:before="10"/>
              <w:ind w:left="304"/>
              <w:rPr>
                <w:sz w:val="20"/>
              </w:rPr>
            </w:pPr>
            <w:r>
              <w:rPr>
                <w:spacing w:val="-2"/>
                <w:sz w:val="20"/>
              </w:rPr>
              <w:t>Either</w:t>
            </w:r>
            <w:r>
              <w:rPr>
                <w:spacing w:val="-2"/>
                <w:sz w:val="20"/>
                <w:vertAlign w:val="superscript"/>
              </w:rPr>
              <w:t>5</w:t>
            </w:r>
          </w:p>
        </w:tc>
        <w:tc>
          <w:tcPr>
            <w:tcW w:w="1620" w:type="dxa"/>
          </w:tcPr>
          <w:p w14:paraId="365A9881" w14:textId="77777777" w:rsidR="00E41A5B" w:rsidRDefault="00DA7B02">
            <w:pPr>
              <w:pStyle w:val="TableParagraph"/>
              <w:spacing w:before="10"/>
              <w:ind w:left="141" w:right="136"/>
              <w:jc w:val="center"/>
              <w:rPr>
                <w:sz w:val="20"/>
              </w:rPr>
            </w:pPr>
            <w:r>
              <w:rPr>
                <w:spacing w:val="-5"/>
                <w:sz w:val="20"/>
              </w:rPr>
              <w:t>Yes</w:t>
            </w:r>
          </w:p>
        </w:tc>
        <w:tc>
          <w:tcPr>
            <w:tcW w:w="1440" w:type="dxa"/>
          </w:tcPr>
          <w:p w14:paraId="365A9882" w14:textId="77777777" w:rsidR="00E41A5B" w:rsidRDefault="00DA7B02">
            <w:pPr>
              <w:pStyle w:val="TableParagraph"/>
              <w:spacing w:before="10"/>
              <w:ind w:left="9" w:right="5"/>
              <w:jc w:val="center"/>
              <w:rPr>
                <w:sz w:val="20"/>
              </w:rPr>
            </w:pPr>
            <w:r>
              <w:rPr>
                <w:spacing w:val="-5"/>
                <w:sz w:val="20"/>
              </w:rPr>
              <w:t>No</w:t>
            </w:r>
          </w:p>
        </w:tc>
        <w:tc>
          <w:tcPr>
            <w:tcW w:w="1440" w:type="dxa"/>
          </w:tcPr>
          <w:p w14:paraId="365A9883" w14:textId="77777777" w:rsidR="00E41A5B" w:rsidRDefault="00DA7B02">
            <w:pPr>
              <w:pStyle w:val="TableParagraph"/>
              <w:spacing w:before="10"/>
              <w:ind w:left="11" w:right="4"/>
              <w:jc w:val="center"/>
              <w:rPr>
                <w:sz w:val="20"/>
              </w:rPr>
            </w:pPr>
            <w:r>
              <w:rPr>
                <w:spacing w:val="-2"/>
                <w:sz w:val="20"/>
              </w:rPr>
              <w:t>Yes/No</w:t>
            </w:r>
            <w:r>
              <w:rPr>
                <w:spacing w:val="-2"/>
                <w:sz w:val="20"/>
                <w:vertAlign w:val="superscript"/>
              </w:rPr>
              <w:t>6</w:t>
            </w:r>
          </w:p>
        </w:tc>
      </w:tr>
      <w:tr w:rsidR="00E41A5B" w14:paraId="365A988B" w14:textId="77777777">
        <w:trPr>
          <w:trHeight w:val="1000"/>
        </w:trPr>
        <w:tc>
          <w:tcPr>
            <w:tcW w:w="720" w:type="dxa"/>
          </w:tcPr>
          <w:p w14:paraId="365A9885" w14:textId="77777777" w:rsidR="00E41A5B" w:rsidRDefault="00DA7B02">
            <w:pPr>
              <w:pStyle w:val="TableParagraph"/>
              <w:spacing w:before="10"/>
              <w:ind w:left="93"/>
              <w:rPr>
                <w:sz w:val="20"/>
              </w:rPr>
            </w:pPr>
            <w:r>
              <w:rPr>
                <w:spacing w:val="-2"/>
                <w:sz w:val="20"/>
              </w:rPr>
              <w:t>Other</w:t>
            </w:r>
          </w:p>
        </w:tc>
        <w:tc>
          <w:tcPr>
            <w:tcW w:w="5311" w:type="dxa"/>
          </w:tcPr>
          <w:p w14:paraId="365A9886" w14:textId="77777777" w:rsidR="00E41A5B" w:rsidRDefault="00DA7B02">
            <w:pPr>
              <w:pStyle w:val="TableParagraph"/>
              <w:spacing w:line="254" w:lineRule="auto"/>
              <w:ind w:left="76"/>
              <w:rPr>
                <w:sz w:val="20"/>
              </w:rPr>
            </w:pPr>
            <w:r>
              <w:rPr>
                <w:sz w:val="20"/>
              </w:rPr>
              <w:t>Partners</w:t>
            </w:r>
            <w:r>
              <w:rPr>
                <w:spacing w:val="-5"/>
                <w:sz w:val="20"/>
              </w:rPr>
              <w:t xml:space="preserve"> </w:t>
            </w:r>
            <w:r>
              <w:rPr>
                <w:sz w:val="20"/>
              </w:rPr>
              <w:t>as</w:t>
            </w:r>
            <w:r>
              <w:rPr>
                <w:spacing w:val="-5"/>
                <w:sz w:val="20"/>
              </w:rPr>
              <w:t xml:space="preserve"> </w:t>
            </w:r>
            <w:r>
              <w:rPr>
                <w:sz w:val="20"/>
              </w:rPr>
              <w:t>outlined</w:t>
            </w:r>
            <w:r>
              <w:rPr>
                <w:spacing w:val="-3"/>
                <w:sz w:val="20"/>
              </w:rPr>
              <w:t xml:space="preserve"> </w:t>
            </w:r>
            <w:r>
              <w:rPr>
                <w:sz w:val="20"/>
              </w:rPr>
              <w:t>by</w:t>
            </w:r>
            <w:r>
              <w:rPr>
                <w:spacing w:val="-8"/>
                <w:sz w:val="20"/>
              </w:rPr>
              <w:t xml:space="preserve"> </w:t>
            </w:r>
            <w:r>
              <w:rPr>
                <w:sz w:val="20"/>
              </w:rPr>
              <w:t>WIOA</w:t>
            </w:r>
            <w:r>
              <w:rPr>
                <w:spacing w:val="-4"/>
                <w:sz w:val="20"/>
              </w:rPr>
              <w:t xml:space="preserve"> </w:t>
            </w:r>
            <w:r>
              <w:rPr>
                <w:sz w:val="20"/>
              </w:rPr>
              <w:t>sec.</w:t>
            </w:r>
            <w:r>
              <w:rPr>
                <w:spacing w:val="-3"/>
                <w:sz w:val="20"/>
              </w:rPr>
              <w:t xml:space="preserve"> </w:t>
            </w:r>
            <w:r>
              <w:rPr>
                <w:sz w:val="20"/>
              </w:rPr>
              <w:t>121(b)(2)(B)</w:t>
            </w:r>
            <w:r>
              <w:rPr>
                <w:spacing w:val="-3"/>
                <w:sz w:val="20"/>
              </w:rPr>
              <w:t xml:space="preserve"> </w:t>
            </w:r>
            <w:r>
              <w:rPr>
                <w:sz w:val="20"/>
              </w:rPr>
              <w:t>and</w:t>
            </w:r>
            <w:r>
              <w:rPr>
                <w:spacing w:val="-3"/>
                <w:sz w:val="20"/>
              </w:rPr>
              <w:t xml:space="preserve"> </w:t>
            </w:r>
            <w:r>
              <w:rPr>
                <w:sz w:val="20"/>
              </w:rPr>
              <w:t>20</w:t>
            </w:r>
            <w:r>
              <w:rPr>
                <w:spacing w:val="-3"/>
                <w:sz w:val="20"/>
              </w:rPr>
              <w:t xml:space="preserve"> </w:t>
            </w:r>
            <w:r>
              <w:rPr>
                <w:sz w:val="20"/>
              </w:rPr>
              <w:t xml:space="preserve">CFR </w:t>
            </w:r>
            <w:r>
              <w:rPr>
                <w:spacing w:val="-2"/>
                <w:sz w:val="20"/>
              </w:rPr>
              <w:t>678.410</w:t>
            </w:r>
            <w:r>
              <w:rPr>
                <w:spacing w:val="-2"/>
                <w:sz w:val="20"/>
                <w:vertAlign w:val="superscript"/>
              </w:rPr>
              <w:t>7</w:t>
            </w:r>
          </w:p>
        </w:tc>
        <w:tc>
          <w:tcPr>
            <w:tcW w:w="1260" w:type="dxa"/>
          </w:tcPr>
          <w:p w14:paraId="365A9887" w14:textId="77777777" w:rsidR="00E41A5B" w:rsidRDefault="00DA7B02">
            <w:pPr>
              <w:pStyle w:val="TableParagraph"/>
              <w:spacing w:before="10"/>
              <w:ind w:left="268"/>
              <w:rPr>
                <w:sz w:val="20"/>
              </w:rPr>
            </w:pPr>
            <w:r>
              <w:rPr>
                <w:spacing w:val="-2"/>
                <w:sz w:val="20"/>
              </w:rPr>
              <w:t>Additional</w:t>
            </w:r>
          </w:p>
        </w:tc>
        <w:tc>
          <w:tcPr>
            <w:tcW w:w="1620" w:type="dxa"/>
          </w:tcPr>
          <w:p w14:paraId="365A9888" w14:textId="77777777" w:rsidR="00E41A5B" w:rsidRDefault="00DA7B02">
            <w:pPr>
              <w:pStyle w:val="TableParagraph"/>
              <w:spacing w:line="247" w:lineRule="auto"/>
              <w:ind w:left="278" w:firstLine="158"/>
              <w:rPr>
                <w:sz w:val="20"/>
              </w:rPr>
            </w:pPr>
            <w:r>
              <w:rPr>
                <w:spacing w:val="-2"/>
                <w:sz w:val="20"/>
              </w:rPr>
              <w:t>Consult partners’ authorizing documents.</w:t>
            </w:r>
          </w:p>
        </w:tc>
        <w:tc>
          <w:tcPr>
            <w:tcW w:w="1440" w:type="dxa"/>
          </w:tcPr>
          <w:p w14:paraId="365A9889" w14:textId="77777777" w:rsidR="00E41A5B" w:rsidRDefault="00DA7B02">
            <w:pPr>
              <w:pStyle w:val="TableParagraph"/>
              <w:spacing w:line="247" w:lineRule="auto"/>
              <w:ind w:left="225" w:right="100" w:firstLine="160"/>
              <w:rPr>
                <w:sz w:val="20"/>
              </w:rPr>
            </w:pPr>
            <w:r>
              <w:rPr>
                <w:spacing w:val="-2"/>
                <w:sz w:val="20"/>
              </w:rPr>
              <w:t>Consult partners’ authorizing documents.</w:t>
            </w:r>
          </w:p>
        </w:tc>
        <w:tc>
          <w:tcPr>
            <w:tcW w:w="1440" w:type="dxa"/>
          </w:tcPr>
          <w:p w14:paraId="365A988A" w14:textId="77777777" w:rsidR="00E41A5B" w:rsidRDefault="00DA7B02">
            <w:pPr>
              <w:pStyle w:val="TableParagraph"/>
              <w:spacing w:before="10"/>
              <w:ind w:left="13" w:right="4"/>
              <w:jc w:val="center"/>
              <w:rPr>
                <w:sz w:val="20"/>
              </w:rPr>
            </w:pPr>
            <w:r>
              <w:rPr>
                <w:spacing w:val="-5"/>
                <w:sz w:val="20"/>
              </w:rPr>
              <w:t>No</w:t>
            </w:r>
          </w:p>
        </w:tc>
      </w:tr>
    </w:tbl>
    <w:p w14:paraId="365A988C" w14:textId="77777777" w:rsidR="00E41A5B" w:rsidRDefault="00DA7B02">
      <w:pPr>
        <w:spacing w:before="207"/>
        <w:ind w:left="524"/>
        <w:rPr>
          <w:sz w:val="18"/>
        </w:rPr>
      </w:pPr>
      <w:r>
        <w:rPr>
          <w:spacing w:val="-2"/>
          <w:sz w:val="18"/>
        </w:rPr>
        <w:t>LIMITATIONS:</w:t>
      </w:r>
    </w:p>
    <w:p w14:paraId="365A988D" w14:textId="77777777" w:rsidR="00E41A5B" w:rsidRDefault="00DA7B02">
      <w:pPr>
        <w:spacing w:before="86" w:line="249" w:lineRule="auto"/>
        <w:ind w:left="524" w:right="293"/>
        <w:rPr>
          <w:sz w:val="18"/>
        </w:rPr>
      </w:pPr>
      <w:r>
        <w:rPr>
          <w:sz w:val="13"/>
        </w:rPr>
        <w:t>1</w:t>
      </w:r>
      <w:r>
        <w:rPr>
          <w:spacing w:val="-3"/>
          <w:sz w:val="13"/>
        </w:rPr>
        <w:t xml:space="preserve"> </w:t>
      </w:r>
      <w:r>
        <w:rPr>
          <w:sz w:val="18"/>
        </w:rPr>
        <w:t>Partners’</w:t>
      </w:r>
      <w:r>
        <w:rPr>
          <w:spacing w:val="-2"/>
          <w:sz w:val="18"/>
        </w:rPr>
        <w:t xml:space="preserve"> </w:t>
      </w:r>
      <w:r>
        <w:rPr>
          <w:sz w:val="18"/>
        </w:rPr>
        <w:t>funding</w:t>
      </w:r>
      <w:r>
        <w:rPr>
          <w:spacing w:val="-3"/>
          <w:sz w:val="18"/>
        </w:rPr>
        <w:t xml:space="preserve"> </w:t>
      </w:r>
      <w:r>
        <w:rPr>
          <w:sz w:val="18"/>
        </w:rPr>
        <w:t>contributions</w:t>
      </w:r>
      <w:r>
        <w:rPr>
          <w:spacing w:val="-2"/>
          <w:sz w:val="18"/>
        </w:rPr>
        <w:t xml:space="preserve"> </w:t>
      </w:r>
      <w:r>
        <w:rPr>
          <w:sz w:val="18"/>
        </w:rPr>
        <w:t>for</w:t>
      </w:r>
      <w:r>
        <w:rPr>
          <w:spacing w:val="-2"/>
          <w:sz w:val="18"/>
        </w:rPr>
        <w:t xml:space="preserve"> </w:t>
      </w:r>
      <w:r>
        <w:rPr>
          <w:sz w:val="18"/>
        </w:rPr>
        <w:t>infrastructure</w:t>
      </w:r>
      <w:r>
        <w:rPr>
          <w:spacing w:val="-3"/>
          <w:sz w:val="18"/>
        </w:rPr>
        <w:t xml:space="preserve"> </w:t>
      </w:r>
      <w:r>
        <w:rPr>
          <w:sz w:val="18"/>
        </w:rPr>
        <w:t>costs</w:t>
      </w:r>
      <w:r>
        <w:rPr>
          <w:spacing w:val="-2"/>
          <w:sz w:val="18"/>
        </w:rPr>
        <w:t xml:space="preserve"> </w:t>
      </w:r>
      <w:r>
        <w:rPr>
          <w:sz w:val="18"/>
        </w:rPr>
        <w:t>are</w:t>
      </w:r>
      <w:r>
        <w:rPr>
          <w:spacing w:val="-3"/>
          <w:sz w:val="18"/>
        </w:rPr>
        <w:t xml:space="preserve"> </w:t>
      </w:r>
      <w:r>
        <w:rPr>
          <w:sz w:val="18"/>
        </w:rPr>
        <w:t>subject</w:t>
      </w:r>
      <w:r>
        <w:rPr>
          <w:spacing w:val="-4"/>
          <w:sz w:val="18"/>
        </w:rPr>
        <w:t xml:space="preserve"> </w:t>
      </w:r>
      <w:r>
        <w:rPr>
          <w:sz w:val="18"/>
        </w:rPr>
        <w:t>to</w:t>
      </w:r>
      <w:r>
        <w:rPr>
          <w:spacing w:val="-1"/>
          <w:sz w:val="18"/>
        </w:rPr>
        <w:t xml:space="preserve"> </w:t>
      </w:r>
      <w:r>
        <w:rPr>
          <w:sz w:val="18"/>
        </w:rPr>
        <w:t>the</w:t>
      </w:r>
      <w:r>
        <w:rPr>
          <w:spacing w:val="-3"/>
          <w:sz w:val="18"/>
        </w:rPr>
        <w:t xml:space="preserve"> </w:t>
      </w:r>
      <w:r>
        <w:rPr>
          <w:sz w:val="18"/>
        </w:rPr>
        <w:t>partner</w:t>
      </w:r>
      <w:r>
        <w:rPr>
          <w:spacing w:val="-4"/>
          <w:sz w:val="18"/>
        </w:rPr>
        <w:t xml:space="preserve"> </w:t>
      </w:r>
      <w:r>
        <w:rPr>
          <w:sz w:val="18"/>
        </w:rPr>
        <w:t>programs’</w:t>
      </w:r>
      <w:r>
        <w:rPr>
          <w:spacing w:val="-2"/>
          <w:sz w:val="18"/>
        </w:rPr>
        <w:t xml:space="preserve"> </w:t>
      </w:r>
      <w:r>
        <w:rPr>
          <w:sz w:val="18"/>
        </w:rPr>
        <w:t>administrative</w:t>
      </w:r>
      <w:r>
        <w:rPr>
          <w:spacing w:val="-3"/>
          <w:sz w:val="18"/>
        </w:rPr>
        <w:t xml:space="preserve"> </w:t>
      </w:r>
      <w:r>
        <w:rPr>
          <w:sz w:val="18"/>
        </w:rPr>
        <w:t>cost</w:t>
      </w:r>
      <w:r>
        <w:rPr>
          <w:spacing w:val="-2"/>
          <w:sz w:val="18"/>
        </w:rPr>
        <w:t xml:space="preserve"> </w:t>
      </w:r>
      <w:r>
        <w:rPr>
          <w:sz w:val="18"/>
        </w:rPr>
        <w:t>limitations</w:t>
      </w:r>
      <w:r>
        <w:rPr>
          <w:spacing w:val="-2"/>
          <w:sz w:val="18"/>
        </w:rPr>
        <w:t xml:space="preserve"> </w:t>
      </w:r>
      <w:r>
        <w:rPr>
          <w:sz w:val="18"/>
        </w:rPr>
        <w:t>and</w:t>
      </w:r>
      <w:r>
        <w:rPr>
          <w:spacing w:val="-1"/>
          <w:sz w:val="18"/>
        </w:rPr>
        <w:t xml:space="preserve"> </w:t>
      </w:r>
      <w:r>
        <w:rPr>
          <w:sz w:val="18"/>
        </w:rPr>
        <w:t>restrictions. The</w:t>
      </w:r>
      <w:r>
        <w:rPr>
          <w:spacing w:val="-5"/>
          <w:sz w:val="18"/>
        </w:rPr>
        <w:t xml:space="preserve"> </w:t>
      </w:r>
      <w:r>
        <w:rPr>
          <w:sz w:val="18"/>
        </w:rPr>
        <w:t>definition of administrative costs may also differ from one partner program to the next.</w:t>
      </w:r>
    </w:p>
    <w:p w14:paraId="365A988E" w14:textId="77777777" w:rsidR="00E41A5B" w:rsidRDefault="00DA7B02">
      <w:pPr>
        <w:spacing w:before="2"/>
        <w:ind w:left="524"/>
        <w:rPr>
          <w:sz w:val="18"/>
        </w:rPr>
      </w:pPr>
      <w:r>
        <w:rPr>
          <w:sz w:val="18"/>
          <w:vertAlign w:val="superscript"/>
        </w:rPr>
        <w:t>2</w:t>
      </w:r>
      <w:r>
        <w:rPr>
          <w:spacing w:val="-12"/>
          <w:sz w:val="18"/>
        </w:rPr>
        <w:t xml:space="preserve"> </w:t>
      </w:r>
      <w:r>
        <w:rPr>
          <w:sz w:val="18"/>
        </w:rPr>
        <w:t>Statutory</w:t>
      </w:r>
      <w:r>
        <w:rPr>
          <w:spacing w:val="-6"/>
          <w:sz w:val="18"/>
        </w:rPr>
        <w:t xml:space="preserve"> </w:t>
      </w:r>
      <w:r>
        <w:rPr>
          <w:sz w:val="18"/>
        </w:rPr>
        <w:t>caps for</w:t>
      </w:r>
      <w:r>
        <w:rPr>
          <w:spacing w:val="-1"/>
          <w:sz w:val="18"/>
        </w:rPr>
        <w:t xml:space="preserve"> </w:t>
      </w:r>
      <w:r>
        <w:rPr>
          <w:sz w:val="18"/>
        </w:rPr>
        <w:t>infrastructure</w:t>
      </w:r>
      <w:r>
        <w:rPr>
          <w:spacing w:val="-2"/>
          <w:sz w:val="18"/>
        </w:rPr>
        <w:t xml:space="preserve"> </w:t>
      </w:r>
      <w:r>
        <w:rPr>
          <w:sz w:val="18"/>
        </w:rPr>
        <w:t xml:space="preserve">funds </w:t>
      </w:r>
      <w:proofErr w:type="gramStart"/>
      <w:r>
        <w:rPr>
          <w:sz w:val="18"/>
        </w:rPr>
        <w:t>is</w:t>
      </w:r>
      <w:proofErr w:type="gramEnd"/>
      <w:r>
        <w:rPr>
          <w:spacing w:val="-1"/>
          <w:sz w:val="18"/>
        </w:rPr>
        <w:t xml:space="preserve"> </w:t>
      </w:r>
      <w:r>
        <w:rPr>
          <w:sz w:val="18"/>
        </w:rPr>
        <w:t>applicable</w:t>
      </w:r>
      <w:r>
        <w:rPr>
          <w:spacing w:val="-2"/>
          <w:sz w:val="18"/>
        </w:rPr>
        <w:t xml:space="preserve"> </w:t>
      </w:r>
      <w:r>
        <w:rPr>
          <w:sz w:val="18"/>
        </w:rPr>
        <w:t>only</w:t>
      </w:r>
      <w:r>
        <w:rPr>
          <w:spacing w:val="-4"/>
          <w:sz w:val="18"/>
        </w:rPr>
        <w:t xml:space="preserve"> </w:t>
      </w:r>
      <w:r>
        <w:rPr>
          <w:sz w:val="18"/>
        </w:rPr>
        <w:t>if</w:t>
      </w:r>
      <w:r>
        <w:rPr>
          <w:spacing w:val="-3"/>
          <w:sz w:val="18"/>
        </w:rPr>
        <w:t xml:space="preserve"> </w:t>
      </w:r>
      <w:r>
        <w:rPr>
          <w:sz w:val="18"/>
        </w:rPr>
        <w:t>the</w:t>
      </w:r>
      <w:r>
        <w:rPr>
          <w:spacing w:val="-2"/>
          <w:sz w:val="18"/>
        </w:rPr>
        <w:t xml:space="preserve"> </w:t>
      </w:r>
      <w:r>
        <w:rPr>
          <w:sz w:val="18"/>
        </w:rPr>
        <w:t>State</w:t>
      </w:r>
      <w:r>
        <w:rPr>
          <w:spacing w:val="-2"/>
          <w:sz w:val="18"/>
        </w:rPr>
        <w:t xml:space="preserve"> </w:t>
      </w:r>
      <w:r>
        <w:rPr>
          <w:sz w:val="18"/>
        </w:rPr>
        <w:t>Funding</w:t>
      </w:r>
      <w:r>
        <w:rPr>
          <w:spacing w:val="-1"/>
          <w:sz w:val="18"/>
        </w:rPr>
        <w:t xml:space="preserve"> </w:t>
      </w:r>
      <w:r>
        <w:rPr>
          <w:sz w:val="18"/>
        </w:rPr>
        <w:t>Mechanism</w:t>
      </w:r>
      <w:r>
        <w:rPr>
          <w:spacing w:val="-4"/>
          <w:sz w:val="18"/>
        </w:rPr>
        <w:t xml:space="preserve"> </w:t>
      </w:r>
      <w:r>
        <w:rPr>
          <w:sz w:val="18"/>
        </w:rPr>
        <w:t>is</w:t>
      </w:r>
      <w:r>
        <w:rPr>
          <w:spacing w:val="-1"/>
          <w:sz w:val="18"/>
        </w:rPr>
        <w:t xml:space="preserve"> </w:t>
      </w:r>
      <w:proofErr w:type="gramStart"/>
      <w:r>
        <w:rPr>
          <w:sz w:val="18"/>
        </w:rPr>
        <w:t>being</w:t>
      </w:r>
      <w:r>
        <w:rPr>
          <w:spacing w:val="-1"/>
          <w:sz w:val="18"/>
        </w:rPr>
        <w:t xml:space="preserve"> </w:t>
      </w:r>
      <w:r>
        <w:rPr>
          <w:spacing w:val="-2"/>
          <w:sz w:val="18"/>
        </w:rPr>
        <w:t>implemented</w:t>
      </w:r>
      <w:proofErr w:type="gramEnd"/>
      <w:r>
        <w:rPr>
          <w:spacing w:val="-2"/>
          <w:sz w:val="18"/>
        </w:rPr>
        <w:t>.</w:t>
      </w:r>
    </w:p>
    <w:p w14:paraId="365A988F" w14:textId="77777777" w:rsidR="00E41A5B" w:rsidRDefault="00DA7B02">
      <w:pPr>
        <w:spacing w:before="35" w:line="261" w:lineRule="auto"/>
        <w:ind w:left="524" w:right="477"/>
        <w:rPr>
          <w:sz w:val="18"/>
        </w:rPr>
      </w:pPr>
      <w:r>
        <w:rPr>
          <w:sz w:val="18"/>
          <w:vertAlign w:val="superscript"/>
        </w:rPr>
        <w:t>3</w:t>
      </w:r>
      <w:r>
        <w:rPr>
          <w:spacing w:val="-12"/>
          <w:sz w:val="18"/>
        </w:rPr>
        <w:t xml:space="preserve"> </w:t>
      </w:r>
      <w:r>
        <w:rPr>
          <w:sz w:val="18"/>
        </w:rPr>
        <w:t>Native</w:t>
      </w:r>
      <w:r>
        <w:rPr>
          <w:spacing w:val="-3"/>
          <w:sz w:val="18"/>
        </w:rPr>
        <w:t xml:space="preserve"> </w:t>
      </w:r>
      <w:r>
        <w:rPr>
          <w:sz w:val="18"/>
        </w:rPr>
        <w:t>American</w:t>
      </w:r>
      <w:r>
        <w:rPr>
          <w:spacing w:val="-1"/>
          <w:sz w:val="18"/>
        </w:rPr>
        <w:t xml:space="preserve"> </w:t>
      </w:r>
      <w:r>
        <w:rPr>
          <w:sz w:val="18"/>
        </w:rPr>
        <w:t>programs,</w:t>
      </w:r>
      <w:r>
        <w:rPr>
          <w:spacing w:val="-1"/>
          <w:sz w:val="18"/>
        </w:rPr>
        <w:t xml:space="preserve"> </w:t>
      </w:r>
      <w:r>
        <w:rPr>
          <w:sz w:val="18"/>
        </w:rPr>
        <w:t>as</w:t>
      </w:r>
      <w:r>
        <w:rPr>
          <w:spacing w:val="-2"/>
          <w:sz w:val="18"/>
        </w:rPr>
        <w:t xml:space="preserve"> </w:t>
      </w:r>
      <w:r>
        <w:rPr>
          <w:sz w:val="18"/>
        </w:rPr>
        <w:t>required</w:t>
      </w:r>
      <w:r>
        <w:rPr>
          <w:spacing w:val="-1"/>
          <w:sz w:val="18"/>
        </w:rPr>
        <w:t xml:space="preserve"> </w:t>
      </w:r>
      <w:r>
        <w:rPr>
          <w:sz w:val="18"/>
        </w:rPr>
        <w:t>One-stop</w:t>
      </w:r>
      <w:r>
        <w:rPr>
          <w:spacing w:val="-3"/>
          <w:sz w:val="18"/>
        </w:rPr>
        <w:t xml:space="preserve"> </w:t>
      </w:r>
      <w:r>
        <w:rPr>
          <w:sz w:val="18"/>
        </w:rPr>
        <w:t>partners,</w:t>
      </w:r>
      <w:r>
        <w:rPr>
          <w:spacing w:val="-1"/>
          <w:sz w:val="18"/>
        </w:rPr>
        <w:t xml:space="preserve"> </w:t>
      </w:r>
      <w:r>
        <w:rPr>
          <w:sz w:val="18"/>
        </w:rPr>
        <w:t>are</w:t>
      </w:r>
      <w:r>
        <w:rPr>
          <w:spacing w:val="-3"/>
          <w:sz w:val="18"/>
        </w:rPr>
        <w:t xml:space="preserve"> </w:t>
      </w:r>
      <w:r>
        <w:rPr>
          <w:sz w:val="18"/>
        </w:rPr>
        <w:t>strongly</w:t>
      </w:r>
      <w:r>
        <w:rPr>
          <w:spacing w:val="-6"/>
          <w:sz w:val="18"/>
        </w:rPr>
        <w:t xml:space="preserve"> </w:t>
      </w:r>
      <w:r>
        <w:rPr>
          <w:sz w:val="18"/>
        </w:rPr>
        <w:t>encouraged</w:t>
      </w:r>
      <w:r>
        <w:rPr>
          <w:spacing w:val="-1"/>
          <w:sz w:val="18"/>
        </w:rPr>
        <w:t xml:space="preserve"> </w:t>
      </w:r>
      <w:r>
        <w:rPr>
          <w:sz w:val="18"/>
        </w:rPr>
        <w:t>to</w:t>
      </w:r>
      <w:r>
        <w:rPr>
          <w:spacing w:val="-1"/>
          <w:sz w:val="18"/>
        </w:rPr>
        <w:t xml:space="preserve"> </w:t>
      </w:r>
      <w:r>
        <w:rPr>
          <w:sz w:val="18"/>
        </w:rPr>
        <w:t>contribute</w:t>
      </w:r>
      <w:r>
        <w:rPr>
          <w:spacing w:val="-3"/>
          <w:sz w:val="18"/>
        </w:rPr>
        <w:t xml:space="preserve"> </w:t>
      </w:r>
      <w:r>
        <w:rPr>
          <w:sz w:val="18"/>
        </w:rPr>
        <w:t>to</w:t>
      </w:r>
      <w:r>
        <w:rPr>
          <w:spacing w:val="-3"/>
          <w:sz w:val="18"/>
        </w:rPr>
        <w:t xml:space="preserve"> </w:t>
      </w:r>
      <w:r>
        <w:rPr>
          <w:sz w:val="18"/>
        </w:rPr>
        <w:t>infrastructure</w:t>
      </w:r>
      <w:r>
        <w:rPr>
          <w:spacing w:val="-3"/>
          <w:sz w:val="18"/>
        </w:rPr>
        <w:t xml:space="preserve"> </w:t>
      </w:r>
      <w:r>
        <w:rPr>
          <w:sz w:val="18"/>
        </w:rPr>
        <w:t>costs,</w:t>
      </w:r>
      <w:r>
        <w:rPr>
          <w:spacing w:val="-1"/>
          <w:sz w:val="18"/>
        </w:rPr>
        <w:t xml:space="preserve"> </w:t>
      </w:r>
      <w:r>
        <w:rPr>
          <w:sz w:val="18"/>
        </w:rPr>
        <w:t>but</w:t>
      </w:r>
      <w:r>
        <w:rPr>
          <w:spacing w:val="-4"/>
          <w:sz w:val="18"/>
        </w:rPr>
        <w:t xml:space="preserve"> </w:t>
      </w:r>
      <w:r>
        <w:rPr>
          <w:sz w:val="18"/>
        </w:rPr>
        <w:t>they</w:t>
      </w:r>
      <w:r>
        <w:rPr>
          <w:spacing w:val="-6"/>
          <w:sz w:val="18"/>
        </w:rPr>
        <w:t xml:space="preserve"> </w:t>
      </w:r>
      <w:r>
        <w:rPr>
          <w:sz w:val="18"/>
        </w:rPr>
        <w:t>are not</w:t>
      </w:r>
      <w:r>
        <w:rPr>
          <w:spacing w:val="-2"/>
          <w:sz w:val="18"/>
        </w:rPr>
        <w:t xml:space="preserve"> </w:t>
      </w:r>
      <w:r>
        <w:rPr>
          <w:sz w:val="18"/>
        </w:rPr>
        <w:t>required</w:t>
      </w:r>
      <w:r>
        <w:rPr>
          <w:spacing w:val="-1"/>
          <w:sz w:val="18"/>
        </w:rPr>
        <w:t xml:space="preserve"> </w:t>
      </w:r>
      <w:r>
        <w:rPr>
          <w:sz w:val="18"/>
        </w:rPr>
        <w:t>to make such contributions under WIOA.</w:t>
      </w:r>
    </w:p>
    <w:p w14:paraId="365A9890" w14:textId="77777777" w:rsidR="00E41A5B" w:rsidRDefault="00DA7B02">
      <w:pPr>
        <w:spacing w:before="5" w:line="266" w:lineRule="auto"/>
        <w:ind w:left="524" w:right="293"/>
        <w:rPr>
          <w:sz w:val="18"/>
        </w:rPr>
      </w:pPr>
      <w:r>
        <w:rPr>
          <w:sz w:val="18"/>
          <w:vertAlign w:val="superscript"/>
        </w:rPr>
        <w:t>4</w:t>
      </w:r>
      <w:r>
        <w:rPr>
          <w:sz w:val="18"/>
        </w:rPr>
        <w:t xml:space="preserve"> These programs do not distinguish between program or administrative funds since there is only one allotment from which all expenditures – administrative</w:t>
      </w:r>
      <w:r>
        <w:rPr>
          <w:spacing w:val="-2"/>
          <w:sz w:val="18"/>
        </w:rPr>
        <w:t xml:space="preserve"> </w:t>
      </w:r>
      <w:r>
        <w:rPr>
          <w:sz w:val="18"/>
        </w:rPr>
        <w:t>costs</w:t>
      </w:r>
      <w:r>
        <w:rPr>
          <w:spacing w:val="-1"/>
          <w:sz w:val="18"/>
        </w:rPr>
        <w:t xml:space="preserve"> </w:t>
      </w:r>
      <w:r>
        <w:rPr>
          <w:sz w:val="18"/>
        </w:rPr>
        <w:t>and program</w:t>
      </w:r>
      <w:r>
        <w:rPr>
          <w:spacing w:val="-4"/>
          <w:sz w:val="18"/>
        </w:rPr>
        <w:t xml:space="preserve"> </w:t>
      </w:r>
      <w:r>
        <w:rPr>
          <w:sz w:val="18"/>
        </w:rPr>
        <w:t>costs</w:t>
      </w:r>
      <w:r>
        <w:rPr>
          <w:spacing w:val="-1"/>
          <w:sz w:val="18"/>
        </w:rPr>
        <w:t xml:space="preserve"> </w:t>
      </w:r>
      <w:r>
        <w:rPr>
          <w:sz w:val="18"/>
        </w:rPr>
        <w:t>– must</w:t>
      </w:r>
      <w:r>
        <w:rPr>
          <w:spacing w:val="-1"/>
          <w:sz w:val="18"/>
        </w:rPr>
        <w:t xml:space="preserve"> </w:t>
      </w:r>
      <w:r>
        <w:rPr>
          <w:sz w:val="18"/>
        </w:rPr>
        <w:t>be</w:t>
      </w:r>
      <w:r>
        <w:rPr>
          <w:spacing w:val="-2"/>
          <w:sz w:val="18"/>
        </w:rPr>
        <w:t xml:space="preserve"> </w:t>
      </w:r>
      <w:r>
        <w:rPr>
          <w:sz w:val="18"/>
        </w:rPr>
        <w:t>paid.</w:t>
      </w:r>
      <w:r>
        <w:rPr>
          <w:spacing w:val="40"/>
          <w:sz w:val="18"/>
        </w:rPr>
        <w:t xml:space="preserve"> </w:t>
      </w:r>
      <w:r>
        <w:rPr>
          <w:sz w:val="18"/>
        </w:rPr>
        <w:t>Although the</w:t>
      </w:r>
      <w:r>
        <w:rPr>
          <w:spacing w:val="-2"/>
          <w:sz w:val="18"/>
        </w:rPr>
        <w:t xml:space="preserve"> </w:t>
      </w:r>
      <w:r>
        <w:rPr>
          <w:sz w:val="18"/>
        </w:rPr>
        <w:t>VR</w:t>
      </w:r>
      <w:r>
        <w:rPr>
          <w:spacing w:val="-3"/>
          <w:sz w:val="18"/>
        </w:rPr>
        <w:t xml:space="preserve"> </w:t>
      </w:r>
      <w:r>
        <w:rPr>
          <w:sz w:val="18"/>
        </w:rPr>
        <w:t>program</w:t>
      </w:r>
      <w:r>
        <w:rPr>
          <w:spacing w:val="-4"/>
          <w:sz w:val="18"/>
        </w:rPr>
        <w:t xml:space="preserve"> </w:t>
      </w:r>
      <w:r>
        <w:rPr>
          <w:sz w:val="18"/>
        </w:rPr>
        <w:t>imposes</w:t>
      </w:r>
      <w:r>
        <w:rPr>
          <w:spacing w:val="-1"/>
          <w:sz w:val="18"/>
        </w:rPr>
        <w:t xml:space="preserve"> </w:t>
      </w:r>
      <w:r>
        <w:rPr>
          <w:sz w:val="18"/>
        </w:rPr>
        <w:t>no limits on</w:t>
      </w:r>
      <w:r>
        <w:rPr>
          <w:spacing w:val="-2"/>
          <w:sz w:val="18"/>
        </w:rPr>
        <w:t xml:space="preserve"> </w:t>
      </w:r>
      <w:r>
        <w:rPr>
          <w:sz w:val="18"/>
        </w:rPr>
        <w:t>the</w:t>
      </w:r>
      <w:r>
        <w:rPr>
          <w:spacing w:val="-1"/>
          <w:sz w:val="18"/>
        </w:rPr>
        <w:t xml:space="preserve"> </w:t>
      </w:r>
      <w:r>
        <w:rPr>
          <w:sz w:val="18"/>
        </w:rPr>
        <w:t>amount</w:t>
      </w:r>
      <w:r>
        <w:rPr>
          <w:spacing w:val="-3"/>
          <w:sz w:val="18"/>
        </w:rPr>
        <w:t xml:space="preserve"> </w:t>
      </w:r>
      <w:r>
        <w:rPr>
          <w:sz w:val="18"/>
        </w:rPr>
        <w:t>of</w:t>
      </w:r>
      <w:r>
        <w:rPr>
          <w:spacing w:val="-3"/>
          <w:sz w:val="18"/>
        </w:rPr>
        <w:t xml:space="preserve"> </w:t>
      </w:r>
      <w:r>
        <w:rPr>
          <w:sz w:val="18"/>
        </w:rPr>
        <w:t>funds</w:t>
      </w:r>
      <w:r>
        <w:rPr>
          <w:spacing w:val="-1"/>
          <w:sz w:val="18"/>
        </w:rPr>
        <w:t xml:space="preserve"> </w:t>
      </w:r>
      <w:r>
        <w:rPr>
          <w:sz w:val="18"/>
        </w:rPr>
        <w:t>that</w:t>
      </w:r>
      <w:r>
        <w:rPr>
          <w:spacing w:val="-1"/>
          <w:sz w:val="18"/>
        </w:rPr>
        <w:t xml:space="preserve"> </w:t>
      </w:r>
      <w:r>
        <w:rPr>
          <w:sz w:val="18"/>
        </w:rPr>
        <w:t>may</w:t>
      </w:r>
      <w:r>
        <w:rPr>
          <w:spacing w:val="-5"/>
          <w:sz w:val="18"/>
        </w:rPr>
        <w:t xml:space="preserve"> </w:t>
      </w:r>
      <w:r>
        <w:rPr>
          <w:sz w:val="18"/>
        </w:rPr>
        <w:t>be</w:t>
      </w:r>
      <w:r>
        <w:rPr>
          <w:spacing w:val="-2"/>
          <w:sz w:val="18"/>
        </w:rPr>
        <w:t xml:space="preserve"> </w:t>
      </w:r>
      <w:r>
        <w:rPr>
          <w:sz w:val="18"/>
        </w:rPr>
        <w:t>spent</w:t>
      </w:r>
      <w:r>
        <w:rPr>
          <w:spacing w:val="-3"/>
          <w:sz w:val="18"/>
        </w:rPr>
        <w:t xml:space="preserve"> </w:t>
      </w:r>
      <w:r>
        <w:rPr>
          <w:sz w:val="18"/>
        </w:rPr>
        <w:t xml:space="preserve">on administrative costs, VR agencies must report funds spent </w:t>
      </w:r>
      <w:proofErr w:type="gramStart"/>
      <w:r>
        <w:rPr>
          <w:sz w:val="18"/>
        </w:rPr>
        <w:t>for</w:t>
      </w:r>
      <w:proofErr w:type="gramEnd"/>
      <w:r>
        <w:rPr>
          <w:sz w:val="18"/>
        </w:rPr>
        <w:t xml:space="preserve"> infrastructure costs as administrative costs.</w:t>
      </w:r>
    </w:p>
    <w:p w14:paraId="365A9891" w14:textId="77777777" w:rsidR="00E41A5B" w:rsidRDefault="00DA7B02">
      <w:pPr>
        <w:spacing w:line="199" w:lineRule="exact"/>
        <w:ind w:left="524"/>
        <w:rPr>
          <w:sz w:val="18"/>
        </w:rPr>
      </w:pPr>
      <w:r>
        <w:rPr>
          <w:sz w:val="18"/>
          <w:vertAlign w:val="superscript"/>
        </w:rPr>
        <w:t>5</w:t>
      </w:r>
      <w:r>
        <w:rPr>
          <w:spacing w:val="-12"/>
          <w:sz w:val="18"/>
        </w:rPr>
        <w:t xml:space="preserve"> </w:t>
      </w:r>
      <w:r>
        <w:rPr>
          <w:sz w:val="18"/>
        </w:rPr>
        <w:t>At</w:t>
      </w:r>
      <w:r>
        <w:rPr>
          <w:spacing w:val="-3"/>
          <w:sz w:val="18"/>
        </w:rPr>
        <w:t xml:space="preserve"> </w:t>
      </w:r>
      <w:r>
        <w:rPr>
          <w:sz w:val="18"/>
        </w:rPr>
        <w:t>the</w:t>
      </w:r>
      <w:r>
        <w:rPr>
          <w:spacing w:val="-2"/>
          <w:sz w:val="18"/>
        </w:rPr>
        <w:t xml:space="preserve"> </w:t>
      </w:r>
      <w:r>
        <w:rPr>
          <w:sz w:val="18"/>
        </w:rPr>
        <w:t>discretion</w:t>
      </w:r>
      <w:r>
        <w:rPr>
          <w:spacing w:val="-3"/>
          <w:sz w:val="18"/>
        </w:rPr>
        <w:t xml:space="preserve"> </w:t>
      </w:r>
      <w:r>
        <w:rPr>
          <w:sz w:val="18"/>
        </w:rPr>
        <w:t>of</w:t>
      </w:r>
      <w:r>
        <w:rPr>
          <w:spacing w:val="-3"/>
          <w:sz w:val="18"/>
        </w:rPr>
        <w:t xml:space="preserve"> </w:t>
      </w:r>
      <w:r>
        <w:rPr>
          <w:sz w:val="18"/>
        </w:rPr>
        <w:t>the</w:t>
      </w:r>
      <w:r>
        <w:rPr>
          <w:spacing w:val="-2"/>
          <w:sz w:val="18"/>
        </w:rPr>
        <w:t xml:space="preserve"> </w:t>
      </w:r>
      <w:r>
        <w:rPr>
          <w:sz w:val="18"/>
        </w:rPr>
        <w:t>Governor,</w:t>
      </w:r>
      <w:r>
        <w:rPr>
          <w:spacing w:val="-1"/>
          <w:sz w:val="18"/>
        </w:rPr>
        <w:t xml:space="preserve"> </w:t>
      </w:r>
      <w:r>
        <w:rPr>
          <w:sz w:val="18"/>
        </w:rPr>
        <w:t>in accordance</w:t>
      </w:r>
      <w:r>
        <w:rPr>
          <w:spacing w:val="-3"/>
          <w:sz w:val="18"/>
        </w:rPr>
        <w:t xml:space="preserve"> </w:t>
      </w:r>
      <w:r>
        <w:rPr>
          <w:sz w:val="18"/>
        </w:rPr>
        <w:t>with WIOA</w:t>
      </w:r>
      <w:r>
        <w:rPr>
          <w:spacing w:val="-4"/>
          <w:sz w:val="18"/>
        </w:rPr>
        <w:t xml:space="preserve"> </w:t>
      </w:r>
      <w:r>
        <w:rPr>
          <w:sz w:val="18"/>
        </w:rPr>
        <w:t>sec.</w:t>
      </w:r>
      <w:r>
        <w:rPr>
          <w:spacing w:val="1"/>
          <w:sz w:val="18"/>
        </w:rPr>
        <w:t xml:space="preserve"> </w:t>
      </w:r>
      <w:r>
        <w:rPr>
          <w:sz w:val="18"/>
        </w:rPr>
        <w:t>121(b)(1)(C)</w:t>
      </w:r>
      <w:r>
        <w:rPr>
          <w:spacing w:val="-1"/>
          <w:sz w:val="18"/>
        </w:rPr>
        <w:t xml:space="preserve"> </w:t>
      </w:r>
      <w:r>
        <w:rPr>
          <w:sz w:val="18"/>
        </w:rPr>
        <w:t>and</w:t>
      </w:r>
      <w:r>
        <w:rPr>
          <w:spacing w:val="-1"/>
          <w:sz w:val="18"/>
        </w:rPr>
        <w:t xml:space="preserve"> </w:t>
      </w:r>
      <w:r>
        <w:rPr>
          <w:sz w:val="18"/>
        </w:rPr>
        <w:t>20 CFR</w:t>
      </w:r>
      <w:r>
        <w:rPr>
          <w:spacing w:val="-3"/>
          <w:sz w:val="18"/>
        </w:rPr>
        <w:t xml:space="preserve"> </w:t>
      </w:r>
      <w:r>
        <w:rPr>
          <w:spacing w:val="-2"/>
          <w:sz w:val="18"/>
        </w:rPr>
        <w:t>678.405.</w:t>
      </w:r>
    </w:p>
    <w:p w14:paraId="365A9892" w14:textId="77777777" w:rsidR="00E41A5B" w:rsidRDefault="00DA7B02">
      <w:pPr>
        <w:spacing w:before="18"/>
        <w:ind w:left="524"/>
        <w:rPr>
          <w:sz w:val="18"/>
        </w:rPr>
      </w:pPr>
      <w:r>
        <w:rPr>
          <w:sz w:val="18"/>
          <w:vertAlign w:val="superscript"/>
        </w:rPr>
        <w:t>6</w:t>
      </w:r>
      <w:r>
        <w:rPr>
          <w:spacing w:val="-1"/>
          <w:sz w:val="18"/>
        </w:rPr>
        <w:t xml:space="preserve"> </w:t>
      </w:r>
      <w:r>
        <w:rPr>
          <w:sz w:val="18"/>
        </w:rPr>
        <w:t>The</w:t>
      </w:r>
      <w:r>
        <w:rPr>
          <w:spacing w:val="-2"/>
          <w:sz w:val="18"/>
        </w:rPr>
        <w:t xml:space="preserve"> </w:t>
      </w:r>
      <w:r>
        <w:rPr>
          <w:sz w:val="18"/>
        </w:rPr>
        <w:t>Governor</w:t>
      </w:r>
      <w:r>
        <w:rPr>
          <w:spacing w:val="-1"/>
          <w:sz w:val="18"/>
        </w:rPr>
        <w:t xml:space="preserve"> </w:t>
      </w:r>
      <w:r>
        <w:rPr>
          <w:sz w:val="18"/>
        </w:rPr>
        <w:t>may</w:t>
      </w:r>
      <w:r>
        <w:rPr>
          <w:spacing w:val="-4"/>
          <w:sz w:val="18"/>
        </w:rPr>
        <w:t xml:space="preserve"> </w:t>
      </w:r>
      <w:r>
        <w:rPr>
          <w:sz w:val="18"/>
        </w:rPr>
        <w:t>determine</w:t>
      </w:r>
      <w:r>
        <w:rPr>
          <w:spacing w:val="-2"/>
          <w:sz w:val="18"/>
        </w:rPr>
        <w:t xml:space="preserve"> </w:t>
      </w:r>
      <w:r>
        <w:rPr>
          <w:sz w:val="18"/>
        </w:rPr>
        <w:t>that</w:t>
      </w:r>
      <w:r>
        <w:rPr>
          <w:spacing w:val="-1"/>
          <w:sz w:val="18"/>
        </w:rPr>
        <w:t xml:space="preserve"> </w:t>
      </w:r>
      <w:r>
        <w:rPr>
          <w:sz w:val="18"/>
        </w:rPr>
        <w:t>TANF</w:t>
      </w:r>
      <w:r>
        <w:rPr>
          <w:spacing w:val="2"/>
          <w:sz w:val="18"/>
        </w:rPr>
        <w:t xml:space="preserve"> </w:t>
      </w:r>
      <w:r>
        <w:rPr>
          <w:sz w:val="18"/>
        </w:rPr>
        <w:t>will not</w:t>
      </w:r>
      <w:r>
        <w:rPr>
          <w:spacing w:val="-3"/>
          <w:sz w:val="18"/>
        </w:rPr>
        <w:t xml:space="preserve"> </w:t>
      </w:r>
      <w:r>
        <w:rPr>
          <w:sz w:val="18"/>
        </w:rPr>
        <w:t>be</w:t>
      </w:r>
      <w:r>
        <w:rPr>
          <w:spacing w:val="-2"/>
          <w:sz w:val="18"/>
        </w:rPr>
        <w:t xml:space="preserve"> </w:t>
      </w:r>
      <w:r>
        <w:rPr>
          <w:sz w:val="18"/>
        </w:rPr>
        <w:t>a</w:t>
      </w:r>
      <w:r>
        <w:rPr>
          <w:spacing w:val="-2"/>
          <w:sz w:val="18"/>
        </w:rPr>
        <w:t xml:space="preserve"> </w:t>
      </w:r>
      <w:r>
        <w:rPr>
          <w:sz w:val="18"/>
        </w:rPr>
        <w:t>required</w:t>
      </w:r>
      <w:r>
        <w:rPr>
          <w:spacing w:val="-1"/>
          <w:sz w:val="18"/>
        </w:rPr>
        <w:t xml:space="preserve"> </w:t>
      </w:r>
      <w:r>
        <w:rPr>
          <w:spacing w:val="-2"/>
          <w:sz w:val="18"/>
        </w:rPr>
        <w:t>partner.</w:t>
      </w:r>
    </w:p>
    <w:p w14:paraId="365A9893" w14:textId="77777777" w:rsidR="00E41A5B" w:rsidRDefault="00DA7B02">
      <w:pPr>
        <w:spacing w:before="22" w:line="266" w:lineRule="auto"/>
        <w:ind w:left="524"/>
        <w:rPr>
          <w:sz w:val="18"/>
        </w:rPr>
      </w:pPr>
      <w:r>
        <w:rPr>
          <w:sz w:val="18"/>
          <w:vertAlign w:val="superscript"/>
        </w:rPr>
        <w:t>7</w:t>
      </w:r>
      <w:r>
        <w:rPr>
          <w:spacing w:val="-1"/>
          <w:sz w:val="18"/>
        </w:rPr>
        <w:t xml:space="preserve"> </w:t>
      </w:r>
      <w:r>
        <w:rPr>
          <w:sz w:val="18"/>
        </w:rPr>
        <w:t>Additional</w:t>
      </w:r>
      <w:r>
        <w:rPr>
          <w:spacing w:val="-3"/>
          <w:sz w:val="18"/>
        </w:rPr>
        <w:t xml:space="preserve"> </w:t>
      </w:r>
      <w:r>
        <w:rPr>
          <w:sz w:val="18"/>
        </w:rPr>
        <w:t>partners</w:t>
      </w:r>
      <w:r>
        <w:rPr>
          <w:spacing w:val="-1"/>
          <w:sz w:val="18"/>
        </w:rPr>
        <w:t xml:space="preserve"> </w:t>
      </w:r>
      <w:r>
        <w:rPr>
          <w:sz w:val="18"/>
        </w:rPr>
        <w:t>are</w:t>
      </w:r>
      <w:r>
        <w:rPr>
          <w:spacing w:val="-2"/>
          <w:sz w:val="18"/>
        </w:rPr>
        <w:t xml:space="preserve"> </w:t>
      </w:r>
      <w:r>
        <w:rPr>
          <w:sz w:val="18"/>
        </w:rPr>
        <w:t>required</w:t>
      </w:r>
      <w:r>
        <w:rPr>
          <w:spacing w:val="-2"/>
          <w:sz w:val="18"/>
        </w:rPr>
        <w:t xml:space="preserve"> </w:t>
      </w:r>
      <w:r>
        <w:rPr>
          <w:sz w:val="18"/>
        </w:rPr>
        <w:t xml:space="preserve">to </w:t>
      </w:r>
      <w:proofErr w:type="gramStart"/>
      <w:r>
        <w:rPr>
          <w:sz w:val="18"/>
        </w:rPr>
        <w:t>share</w:t>
      </w:r>
      <w:r>
        <w:rPr>
          <w:spacing w:val="-2"/>
          <w:sz w:val="18"/>
        </w:rPr>
        <w:t xml:space="preserve"> </w:t>
      </w:r>
      <w:r>
        <w:rPr>
          <w:sz w:val="18"/>
        </w:rPr>
        <w:t>in</w:t>
      </w:r>
      <w:proofErr w:type="gramEnd"/>
      <w:r>
        <w:rPr>
          <w:sz w:val="18"/>
        </w:rPr>
        <w:t xml:space="preserve"> infrastructure</w:t>
      </w:r>
      <w:r>
        <w:rPr>
          <w:spacing w:val="-2"/>
          <w:sz w:val="18"/>
        </w:rPr>
        <w:t xml:space="preserve"> </w:t>
      </w:r>
      <w:r>
        <w:rPr>
          <w:sz w:val="18"/>
        </w:rPr>
        <w:t>costs</w:t>
      </w:r>
      <w:r>
        <w:rPr>
          <w:spacing w:val="-1"/>
          <w:sz w:val="18"/>
        </w:rPr>
        <w:t xml:space="preserve"> </w:t>
      </w:r>
      <w:r>
        <w:rPr>
          <w:sz w:val="18"/>
        </w:rPr>
        <w:t>when participating</w:t>
      </w:r>
      <w:r>
        <w:rPr>
          <w:spacing w:val="-2"/>
          <w:sz w:val="18"/>
        </w:rPr>
        <w:t xml:space="preserve"> </w:t>
      </w:r>
      <w:r>
        <w:rPr>
          <w:sz w:val="18"/>
        </w:rPr>
        <w:t>in the</w:t>
      </w:r>
      <w:r>
        <w:rPr>
          <w:spacing w:val="-2"/>
          <w:sz w:val="18"/>
        </w:rPr>
        <w:t xml:space="preserve"> </w:t>
      </w:r>
      <w:r>
        <w:rPr>
          <w:sz w:val="18"/>
        </w:rPr>
        <w:t>one-stop</w:t>
      </w:r>
      <w:r>
        <w:rPr>
          <w:spacing w:val="-2"/>
          <w:sz w:val="18"/>
        </w:rPr>
        <w:t xml:space="preserve"> </w:t>
      </w:r>
      <w:r>
        <w:rPr>
          <w:sz w:val="18"/>
        </w:rPr>
        <w:t>service</w:t>
      </w:r>
      <w:r>
        <w:rPr>
          <w:spacing w:val="-2"/>
          <w:sz w:val="18"/>
        </w:rPr>
        <w:t xml:space="preserve"> </w:t>
      </w:r>
      <w:r>
        <w:rPr>
          <w:sz w:val="18"/>
        </w:rPr>
        <w:t>delivery</w:t>
      </w:r>
      <w:r>
        <w:rPr>
          <w:spacing w:val="-2"/>
          <w:sz w:val="18"/>
        </w:rPr>
        <w:t xml:space="preserve"> </w:t>
      </w:r>
      <w:r>
        <w:rPr>
          <w:sz w:val="18"/>
        </w:rPr>
        <w:t>system;</w:t>
      </w:r>
      <w:r>
        <w:rPr>
          <w:spacing w:val="-1"/>
          <w:sz w:val="18"/>
        </w:rPr>
        <w:t xml:space="preserve"> </w:t>
      </w:r>
      <w:r>
        <w:rPr>
          <w:sz w:val="18"/>
        </w:rPr>
        <w:t>however, the</w:t>
      </w:r>
      <w:r>
        <w:rPr>
          <w:spacing w:val="-2"/>
          <w:sz w:val="18"/>
        </w:rPr>
        <w:t xml:space="preserve"> </w:t>
      </w:r>
      <w:r>
        <w:rPr>
          <w:sz w:val="18"/>
        </w:rPr>
        <w:t>State</w:t>
      </w:r>
      <w:r>
        <w:rPr>
          <w:spacing w:val="-2"/>
          <w:sz w:val="18"/>
        </w:rPr>
        <w:t xml:space="preserve"> </w:t>
      </w:r>
      <w:r>
        <w:rPr>
          <w:sz w:val="18"/>
        </w:rPr>
        <w:t>funding mechanism is not applicable to additional partners.</w:t>
      </w:r>
    </w:p>
    <w:p w14:paraId="365A9894" w14:textId="77777777" w:rsidR="00E41A5B" w:rsidRDefault="00E41A5B">
      <w:pPr>
        <w:spacing w:line="266" w:lineRule="auto"/>
        <w:rPr>
          <w:sz w:val="18"/>
        </w:rPr>
        <w:sectPr w:rsidR="00E41A5B">
          <w:pgSz w:w="12240" w:h="15840"/>
          <w:pgMar w:top="320" w:right="80" w:bottom="1540" w:left="140" w:header="0" w:footer="1345" w:gutter="0"/>
          <w:cols w:space="720"/>
        </w:sectPr>
      </w:pPr>
    </w:p>
    <w:p w14:paraId="365A9895" w14:textId="77777777" w:rsidR="00E41A5B" w:rsidRDefault="00DA7B02">
      <w:pPr>
        <w:pStyle w:val="Heading1"/>
        <w:spacing w:before="15"/>
        <w:rPr>
          <w:rFonts w:ascii="Calibri"/>
        </w:rPr>
      </w:pPr>
      <w:r>
        <w:rPr>
          <w:rFonts w:ascii="Calibri"/>
        </w:rPr>
        <w:lastRenderedPageBreak/>
        <w:t>Attachment</w:t>
      </w:r>
      <w:r>
        <w:rPr>
          <w:rFonts w:ascii="Calibri"/>
          <w:spacing w:val="-4"/>
        </w:rPr>
        <w:t xml:space="preserve"> </w:t>
      </w:r>
      <w:r>
        <w:rPr>
          <w:rFonts w:ascii="Calibri"/>
        </w:rPr>
        <w:t>IV:</w:t>
      </w:r>
      <w:r>
        <w:rPr>
          <w:rFonts w:ascii="Calibri"/>
          <w:spacing w:val="54"/>
        </w:rPr>
        <w:t xml:space="preserve"> </w:t>
      </w:r>
      <w:r>
        <w:rPr>
          <w:rFonts w:ascii="Calibri"/>
        </w:rPr>
        <w:t>One-Stop</w:t>
      </w:r>
      <w:r>
        <w:rPr>
          <w:rFonts w:ascii="Calibri"/>
          <w:spacing w:val="-4"/>
        </w:rPr>
        <w:t xml:space="preserve"> </w:t>
      </w:r>
      <w:r>
        <w:rPr>
          <w:rFonts w:ascii="Calibri"/>
        </w:rPr>
        <w:t>Operating</w:t>
      </w:r>
      <w:r>
        <w:rPr>
          <w:rFonts w:ascii="Calibri"/>
          <w:spacing w:val="-6"/>
        </w:rPr>
        <w:t xml:space="preserve"> </w:t>
      </w:r>
      <w:r>
        <w:rPr>
          <w:rFonts w:ascii="Calibri"/>
          <w:spacing w:val="-2"/>
        </w:rPr>
        <w:t>Costs</w:t>
      </w:r>
    </w:p>
    <w:p w14:paraId="365A9896" w14:textId="77777777" w:rsidR="00E41A5B" w:rsidRDefault="00E41A5B">
      <w:pPr>
        <w:pStyle w:val="BodyText"/>
        <w:spacing w:before="129"/>
        <w:jc w:val="left"/>
        <w:rPr>
          <w:rFonts w:ascii="Calibri"/>
          <w:b/>
          <w:sz w:val="28"/>
        </w:rPr>
      </w:pPr>
    </w:p>
    <w:p w14:paraId="365A9897" w14:textId="77777777" w:rsidR="00E41A5B" w:rsidRDefault="00DA7B02">
      <w:pPr>
        <w:pStyle w:val="BodyText"/>
        <w:ind w:left="1861" w:right="1682"/>
        <w:jc w:val="center"/>
      </w:pPr>
      <w:r>
        <w:t>The</w:t>
      </w:r>
      <w:r>
        <w:rPr>
          <w:spacing w:val="-2"/>
        </w:rPr>
        <w:t xml:space="preserve"> </w:t>
      </w:r>
      <w:r>
        <w:t>figure</w:t>
      </w:r>
      <w:r>
        <w:rPr>
          <w:spacing w:val="-2"/>
        </w:rPr>
        <w:t xml:space="preserve"> </w:t>
      </w:r>
      <w:r>
        <w:t>below</w:t>
      </w:r>
      <w:r>
        <w:rPr>
          <w:spacing w:val="-2"/>
        </w:rPr>
        <w:t xml:space="preserve"> </w:t>
      </w:r>
      <w:r>
        <w:t>diagrams</w:t>
      </w:r>
      <w:r>
        <w:rPr>
          <w:spacing w:val="-1"/>
        </w:rPr>
        <w:t xml:space="preserve"> </w:t>
      </w:r>
      <w:r>
        <w:t>the</w:t>
      </w:r>
      <w:r>
        <w:rPr>
          <w:spacing w:val="-2"/>
        </w:rPr>
        <w:t xml:space="preserve"> </w:t>
      </w:r>
      <w:r>
        <w:t>organization</w:t>
      </w:r>
      <w:r>
        <w:rPr>
          <w:spacing w:val="-1"/>
        </w:rPr>
        <w:t xml:space="preserve"> </w:t>
      </w:r>
      <w:r>
        <w:t>of</w:t>
      </w:r>
      <w:r>
        <w:rPr>
          <w:spacing w:val="-2"/>
        </w:rPr>
        <w:t xml:space="preserve"> </w:t>
      </w:r>
      <w:r>
        <w:t>one-stop</w:t>
      </w:r>
      <w:r>
        <w:rPr>
          <w:spacing w:val="-1"/>
        </w:rPr>
        <w:t xml:space="preserve"> </w:t>
      </w:r>
      <w:r>
        <w:t>operating</w:t>
      </w:r>
      <w:r>
        <w:rPr>
          <w:spacing w:val="-3"/>
        </w:rPr>
        <w:t xml:space="preserve"> </w:t>
      </w:r>
      <w:r>
        <w:rPr>
          <w:spacing w:val="-2"/>
        </w:rPr>
        <w:t>costs.</w:t>
      </w:r>
    </w:p>
    <w:p w14:paraId="365A9898" w14:textId="77777777" w:rsidR="00E41A5B" w:rsidRDefault="00E41A5B">
      <w:pPr>
        <w:pStyle w:val="BodyText"/>
        <w:jc w:val="left"/>
        <w:rPr>
          <w:sz w:val="20"/>
        </w:rPr>
      </w:pPr>
    </w:p>
    <w:p w14:paraId="365A9899" w14:textId="77777777" w:rsidR="00E41A5B" w:rsidRDefault="00DA7B02">
      <w:pPr>
        <w:pStyle w:val="BodyText"/>
        <w:spacing w:before="190"/>
        <w:jc w:val="left"/>
        <w:rPr>
          <w:sz w:val="20"/>
        </w:rPr>
      </w:pPr>
      <w:r>
        <w:rPr>
          <w:noProof/>
        </w:rPr>
        <w:drawing>
          <wp:anchor distT="0" distB="0" distL="0" distR="0" simplePos="0" relativeHeight="487588864" behindDoc="1" locked="0" layoutInCell="1" allowOverlap="1" wp14:anchorId="365A989E" wp14:editId="365A989F">
            <wp:simplePos x="0" y="0"/>
            <wp:positionH relativeFrom="page">
              <wp:posOffset>1507894</wp:posOffset>
            </wp:positionH>
            <wp:positionV relativeFrom="paragraph">
              <wp:posOffset>282135</wp:posOffset>
            </wp:positionV>
            <wp:extent cx="4410031" cy="4840605"/>
            <wp:effectExtent l="0" t="0" r="0" b="0"/>
            <wp:wrapTopAndBottom/>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9" cstate="print"/>
                    <a:stretch>
                      <a:fillRect/>
                    </a:stretch>
                  </pic:blipFill>
                  <pic:spPr>
                    <a:xfrm>
                      <a:off x="0" y="0"/>
                      <a:ext cx="4410031" cy="4840605"/>
                    </a:xfrm>
                    <a:prstGeom prst="rect">
                      <a:avLst/>
                    </a:prstGeom>
                  </pic:spPr>
                </pic:pic>
              </a:graphicData>
            </a:graphic>
          </wp:anchor>
        </w:drawing>
      </w:r>
    </w:p>
    <w:sectPr w:rsidR="00E41A5B">
      <w:pgSz w:w="12240" w:h="15840"/>
      <w:pgMar w:top="940" w:right="80" w:bottom="1540" w:left="140" w:header="0" w:footer="134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C6E1DA" w14:textId="77777777" w:rsidR="00DA7B02" w:rsidRDefault="00DA7B02">
      <w:r>
        <w:separator/>
      </w:r>
    </w:p>
  </w:endnote>
  <w:endnote w:type="continuationSeparator" w:id="0">
    <w:p w14:paraId="6E17CAC2" w14:textId="77777777" w:rsidR="00DA7B02" w:rsidRDefault="00DA7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A98A0" w14:textId="77777777" w:rsidR="00E41A5B" w:rsidRDefault="00DA7B02">
    <w:pPr>
      <w:pStyle w:val="BodyText"/>
      <w:spacing w:line="14" w:lineRule="auto"/>
      <w:jc w:val="left"/>
      <w:rPr>
        <w:sz w:val="20"/>
      </w:rPr>
    </w:pPr>
    <w:r>
      <w:rPr>
        <w:noProof/>
      </w:rPr>
      <mc:AlternateContent>
        <mc:Choice Requires="wps">
          <w:drawing>
            <wp:anchor distT="0" distB="0" distL="0" distR="0" simplePos="0" relativeHeight="251662848" behindDoc="1" locked="0" layoutInCell="1" allowOverlap="1" wp14:anchorId="365A98A2" wp14:editId="37760AEE">
              <wp:simplePos x="0" y="0"/>
              <wp:positionH relativeFrom="page">
                <wp:posOffset>900752</wp:posOffset>
              </wp:positionH>
              <wp:positionV relativeFrom="page">
                <wp:posOffset>9062113</wp:posOffset>
              </wp:positionV>
              <wp:extent cx="2440940" cy="7028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0940" cy="702860"/>
                      </a:xfrm>
                      <a:prstGeom prst="rect">
                        <a:avLst/>
                      </a:prstGeom>
                    </wps:spPr>
                    <wps:txbx>
                      <w:txbxContent>
                        <w:p w14:paraId="4B49FB84" w14:textId="77777777" w:rsidR="00FB1CFE" w:rsidRDefault="00DA7B02">
                          <w:pPr>
                            <w:spacing w:before="12"/>
                            <w:ind w:left="20"/>
                            <w:rPr>
                              <w:sz w:val="18"/>
                            </w:rPr>
                          </w:pPr>
                          <w:r>
                            <w:rPr>
                              <w:sz w:val="18"/>
                            </w:rPr>
                            <w:t>DETR/ESD/Workforce</w:t>
                          </w:r>
                          <w:r>
                            <w:rPr>
                              <w:spacing w:val="-12"/>
                              <w:sz w:val="18"/>
                            </w:rPr>
                            <w:t xml:space="preserve"> </w:t>
                          </w:r>
                          <w:r w:rsidR="00FB1CFE">
                            <w:rPr>
                              <w:sz w:val="18"/>
                            </w:rPr>
                            <w:t>Programs</w:t>
                          </w:r>
                          <w:r>
                            <w:rPr>
                              <w:sz w:val="18"/>
                            </w:rPr>
                            <w:t xml:space="preserve"> </w:t>
                          </w:r>
                        </w:p>
                        <w:p w14:paraId="1CF52FC8" w14:textId="77777777" w:rsidR="00FB1CFE" w:rsidRDefault="00DA7B02">
                          <w:pPr>
                            <w:spacing w:before="12"/>
                            <w:ind w:left="20"/>
                            <w:rPr>
                              <w:sz w:val="18"/>
                            </w:rPr>
                          </w:pPr>
                          <w:r>
                            <w:rPr>
                              <w:sz w:val="18"/>
                            </w:rPr>
                            <w:t>WIOA State Compliance Polic</w:t>
                          </w:r>
                          <w:r w:rsidR="00FB1CFE">
                            <w:rPr>
                              <w:sz w:val="18"/>
                            </w:rPr>
                            <w:t>ies</w:t>
                          </w:r>
                          <w:r>
                            <w:rPr>
                              <w:sz w:val="18"/>
                            </w:rPr>
                            <w:t xml:space="preserve"> </w:t>
                          </w:r>
                        </w:p>
                        <w:p w14:paraId="263B6637" w14:textId="77777777" w:rsidR="00FB1CFE" w:rsidRDefault="00FB1CFE" w:rsidP="00FB1CFE">
                          <w:pPr>
                            <w:spacing w:before="12"/>
                            <w:ind w:left="20"/>
                            <w:rPr>
                              <w:spacing w:val="-11"/>
                              <w:sz w:val="18"/>
                            </w:rPr>
                          </w:pPr>
                          <w:r>
                            <w:rPr>
                              <w:sz w:val="18"/>
                            </w:rPr>
                            <w:t xml:space="preserve">SCP </w:t>
                          </w:r>
                          <w:r w:rsidR="00DA7B02">
                            <w:rPr>
                              <w:sz w:val="18"/>
                            </w:rPr>
                            <w:t>1.22</w:t>
                          </w:r>
                          <w:r>
                            <w:rPr>
                              <w:sz w:val="18"/>
                            </w:rPr>
                            <w:t xml:space="preserve"> </w:t>
                          </w:r>
                          <w:r w:rsidR="00DA7B02">
                            <w:rPr>
                              <w:sz w:val="18"/>
                            </w:rPr>
                            <w:t>One-Stop</w:t>
                          </w:r>
                          <w:r w:rsidR="00DA7B02">
                            <w:rPr>
                              <w:spacing w:val="-6"/>
                              <w:sz w:val="18"/>
                            </w:rPr>
                            <w:t xml:space="preserve"> </w:t>
                          </w:r>
                          <w:r w:rsidR="00DA7B02">
                            <w:rPr>
                              <w:sz w:val="18"/>
                            </w:rPr>
                            <w:t>Infrastructure</w:t>
                          </w:r>
                          <w:r w:rsidR="00DA7B02">
                            <w:rPr>
                              <w:spacing w:val="-8"/>
                              <w:sz w:val="18"/>
                            </w:rPr>
                            <w:t xml:space="preserve"> </w:t>
                          </w:r>
                          <w:r w:rsidR="00DA7B02">
                            <w:rPr>
                              <w:sz w:val="18"/>
                            </w:rPr>
                            <w:t>Funding</w:t>
                          </w:r>
                          <w:r w:rsidR="00DA7B02">
                            <w:rPr>
                              <w:spacing w:val="-11"/>
                              <w:sz w:val="18"/>
                            </w:rPr>
                            <w:t xml:space="preserve"> </w:t>
                          </w:r>
                        </w:p>
                        <w:p w14:paraId="52A5D494" w14:textId="77777777" w:rsidR="00FB1CFE" w:rsidRDefault="00DA7B02" w:rsidP="00FB1CFE">
                          <w:pPr>
                            <w:spacing w:before="12"/>
                            <w:ind w:left="20"/>
                            <w:rPr>
                              <w:sz w:val="18"/>
                            </w:rPr>
                          </w:pPr>
                          <w:r>
                            <w:rPr>
                              <w:sz w:val="18"/>
                            </w:rPr>
                            <w:t>July</w:t>
                          </w:r>
                          <w:r>
                            <w:rPr>
                              <w:spacing w:val="-11"/>
                              <w:sz w:val="18"/>
                            </w:rPr>
                            <w:t xml:space="preserve"> </w:t>
                          </w:r>
                          <w:r>
                            <w:rPr>
                              <w:sz w:val="18"/>
                            </w:rPr>
                            <w:t xml:space="preserve">2017 </w:t>
                          </w:r>
                        </w:p>
                        <w:p w14:paraId="365A98A7" w14:textId="468E0D6C" w:rsidR="00E41A5B" w:rsidRDefault="00DA7B02" w:rsidP="00FB1CFE">
                          <w:pPr>
                            <w:spacing w:before="12"/>
                            <w:ind w:left="20"/>
                            <w:rPr>
                              <w:sz w:val="18"/>
                            </w:rPr>
                          </w:pPr>
                          <w:r>
                            <w:rPr>
                              <w:sz w:val="18"/>
                            </w:rPr>
                            <w:t xml:space="preserve">Page </w:t>
                          </w:r>
                          <w:r>
                            <w:rPr>
                              <w:sz w:val="18"/>
                            </w:rPr>
                            <w:fldChar w:fldCharType="begin"/>
                          </w:r>
                          <w:r>
                            <w:rPr>
                              <w:sz w:val="18"/>
                            </w:rPr>
                            <w:instrText xml:space="preserve"> PAGE </w:instrText>
                          </w:r>
                          <w:r>
                            <w:rPr>
                              <w:sz w:val="18"/>
                            </w:rPr>
                            <w:fldChar w:fldCharType="separate"/>
                          </w:r>
                          <w:r>
                            <w:rPr>
                              <w:sz w:val="18"/>
                            </w:rPr>
                            <w:t>10</w:t>
                          </w:r>
                          <w:r>
                            <w:rPr>
                              <w:sz w:val="18"/>
                            </w:rPr>
                            <w:fldChar w:fldCharType="end"/>
                          </w:r>
                          <w:r>
                            <w:rPr>
                              <w:sz w:val="18"/>
                            </w:rPr>
                            <w:t xml:space="preserve"> of </w:t>
                          </w:r>
                          <w:r>
                            <w:rPr>
                              <w:sz w:val="18"/>
                            </w:rPr>
                            <w:fldChar w:fldCharType="begin"/>
                          </w:r>
                          <w:r>
                            <w:rPr>
                              <w:sz w:val="18"/>
                            </w:rPr>
                            <w:instrText xml:space="preserve"> NUMPAGES </w:instrText>
                          </w:r>
                          <w:r>
                            <w:rPr>
                              <w:sz w:val="18"/>
                            </w:rPr>
                            <w:fldChar w:fldCharType="separate"/>
                          </w:r>
                          <w:r>
                            <w:rPr>
                              <w:sz w:val="18"/>
                            </w:rPr>
                            <w:t>31</w:t>
                          </w:r>
                          <w:r>
                            <w:rPr>
                              <w:sz w:val="18"/>
                            </w:rPr>
                            <w:fldChar w:fldCharType="end"/>
                          </w:r>
                        </w:p>
                      </w:txbxContent>
                    </wps:txbx>
                    <wps:bodyPr wrap="square" lIns="0" tIns="0" rIns="0" bIns="0" rtlCol="0">
                      <a:noAutofit/>
                    </wps:bodyPr>
                  </wps:wsp>
                </a:graphicData>
              </a:graphic>
              <wp14:sizeRelV relativeFrom="margin">
                <wp14:pctHeight>0</wp14:pctHeight>
              </wp14:sizeRelV>
            </wp:anchor>
          </w:drawing>
        </mc:Choice>
        <mc:Fallback>
          <w:pict>
            <v:shapetype w14:anchorId="365A98A2" id="_x0000_t202" coordsize="21600,21600" o:spt="202" path="m,l,21600r21600,l21600,xe">
              <v:stroke joinstyle="miter"/>
              <v:path gradientshapeok="t" o:connecttype="rect"/>
            </v:shapetype>
            <v:shape id="Textbox 1" o:spid="_x0000_s1026" type="#_x0000_t202" style="position:absolute;margin-left:70.95pt;margin-top:713.55pt;width:192.2pt;height:55.35pt;z-index:-251653632;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" filled="f" stroked="f">
              <v:textbox inset="0,0,0,0">
                <w:txbxContent>
                  <w:p w14:paraId="4B49FB84" w14:textId="77777777" w:rsidR="00FB1CFE" w:rsidRDefault="00DA7B02">
                    <w:pPr>
                      <w:spacing w:before="12"/>
                      <w:ind w:left="20"/>
                      <w:rPr>
                        <w:sz w:val="18"/>
                      </w:rPr>
                    </w:pPr>
                    <w:r>
                      <w:rPr>
                        <w:sz w:val="18"/>
                      </w:rPr>
                      <w:t>DETR/ESD/Workforce</w:t>
                    </w:r>
                    <w:r>
                      <w:rPr>
                        <w:spacing w:val="-12"/>
                        <w:sz w:val="18"/>
                      </w:rPr>
                      <w:t xml:space="preserve"> </w:t>
                    </w:r>
                    <w:r w:rsidR="00FB1CFE">
                      <w:rPr>
                        <w:sz w:val="18"/>
                      </w:rPr>
                      <w:t>Programs</w:t>
                    </w:r>
                    <w:r>
                      <w:rPr>
                        <w:sz w:val="18"/>
                      </w:rPr>
                      <w:t xml:space="preserve"> </w:t>
                    </w:r>
                  </w:p>
                  <w:p w14:paraId="1CF52FC8" w14:textId="77777777" w:rsidR="00FB1CFE" w:rsidRDefault="00DA7B02">
                    <w:pPr>
                      <w:spacing w:before="12"/>
                      <w:ind w:left="20"/>
                      <w:rPr>
                        <w:sz w:val="18"/>
                      </w:rPr>
                    </w:pPr>
                    <w:r>
                      <w:rPr>
                        <w:sz w:val="18"/>
                      </w:rPr>
                      <w:t>WIOA State Compliance Polic</w:t>
                    </w:r>
                    <w:r w:rsidR="00FB1CFE">
                      <w:rPr>
                        <w:sz w:val="18"/>
                      </w:rPr>
                      <w:t>ies</w:t>
                    </w:r>
                    <w:r>
                      <w:rPr>
                        <w:sz w:val="18"/>
                      </w:rPr>
                      <w:t xml:space="preserve"> </w:t>
                    </w:r>
                  </w:p>
                  <w:p w14:paraId="263B6637" w14:textId="77777777" w:rsidR="00FB1CFE" w:rsidRDefault="00FB1CFE" w:rsidP="00FB1CFE">
                    <w:pPr>
                      <w:spacing w:before="12"/>
                      <w:ind w:left="20"/>
                      <w:rPr>
                        <w:spacing w:val="-11"/>
                        <w:sz w:val="18"/>
                      </w:rPr>
                    </w:pPr>
                    <w:r>
                      <w:rPr>
                        <w:sz w:val="18"/>
                      </w:rPr>
                      <w:t xml:space="preserve">SCP </w:t>
                    </w:r>
                    <w:r w:rsidR="00DA7B02">
                      <w:rPr>
                        <w:sz w:val="18"/>
                      </w:rPr>
                      <w:t>1.22</w:t>
                    </w:r>
                    <w:r>
                      <w:rPr>
                        <w:sz w:val="18"/>
                      </w:rPr>
                      <w:t xml:space="preserve"> </w:t>
                    </w:r>
                    <w:r w:rsidR="00DA7B02">
                      <w:rPr>
                        <w:sz w:val="18"/>
                      </w:rPr>
                      <w:t>One-Stop</w:t>
                    </w:r>
                    <w:r w:rsidR="00DA7B02">
                      <w:rPr>
                        <w:spacing w:val="-6"/>
                        <w:sz w:val="18"/>
                      </w:rPr>
                      <w:t xml:space="preserve"> </w:t>
                    </w:r>
                    <w:r w:rsidR="00DA7B02">
                      <w:rPr>
                        <w:sz w:val="18"/>
                      </w:rPr>
                      <w:t>Infrastructure</w:t>
                    </w:r>
                    <w:r w:rsidR="00DA7B02">
                      <w:rPr>
                        <w:spacing w:val="-8"/>
                        <w:sz w:val="18"/>
                      </w:rPr>
                      <w:t xml:space="preserve"> </w:t>
                    </w:r>
                    <w:r w:rsidR="00DA7B02">
                      <w:rPr>
                        <w:sz w:val="18"/>
                      </w:rPr>
                      <w:t>Funding</w:t>
                    </w:r>
                    <w:r w:rsidR="00DA7B02">
                      <w:rPr>
                        <w:spacing w:val="-11"/>
                        <w:sz w:val="18"/>
                      </w:rPr>
                      <w:t xml:space="preserve"> </w:t>
                    </w:r>
                  </w:p>
                  <w:p w14:paraId="52A5D494" w14:textId="77777777" w:rsidR="00FB1CFE" w:rsidRDefault="00DA7B02" w:rsidP="00FB1CFE">
                    <w:pPr>
                      <w:spacing w:before="12"/>
                      <w:ind w:left="20"/>
                      <w:rPr>
                        <w:sz w:val="18"/>
                      </w:rPr>
                    </w:pPr>
                    <w:r>
                      <w:rPr>
                        <w:sz w:val="18"/>
                      </w:rPr>
                      <w:t>July</w:t>
                    </w:r>
                    <w:r>
                      <w:rPr>
                        <w:spacing w:val="-11"/>
                        <w:sz w:val="18"/>
                      </w:rPr>
                      <w:t xml:space="preserve"> </w:t>
                    </w:r>
                    <w:r>
                      <w:rPr>
                        <w:sz w:val="18"/>
                      </w:rPr>
                      <w:t xml:space="preserve">2017 </w:t>
                    </w:r>
                  </w:p>
                  <w:p w14:paraId="365A98A7" w14:textId="468E0D6C" w:rsidR="00E41A5B" w:rsidRDefault="00DA7B02" w:rsidP="00FB1CFE">
                    <w:pPr>
                      <w:spacing w:before="12"/>
                      <w:ind w:left="20"/>
                      <w:rPr>
                        <w:sz w:val="18"/>
                      </w:rPr>
                    </w:pPr>
                    <w:r>
                      <w:rPr>
                        <w:sz w:val="18"/>
                      </w:rPr>
                      <w:t xml:space="preserve">Page </w:t>
                    </w:r>
                    <w:r>
                      <w:rPr>
                        <w:sz w:val="18"/>
                      </w:rPr>
                      <w:fldChar w:fldCharType="begin"/>
                    </w:r>
                    <w:r>
                      <w:rPr>
                        <w:sz w:val="18"/>
                      </w:rPr>
                      <w:instrText xml:space="preserve"> PAGE </w:instrText>
                    </w:r>
                    <w:r>
                      <w:rPr>
                        <w:sz w:val="18"/>
                      </w:rPr>
                      <w:fldChar w:fldCharType="separate"/>
                    </w:r>
                    <w:r>
                      <w:rPr>
                        <w:sz w:val="18"/>
                      </w:rPr>
                      <w:t>10</w:t>
                    </w:r>
                    <w:r>
                      <w:rPr>
                        <w:sz w:val="18"/>
                      </w:rPr>
                      <w:fldChar w:fldCharType="end"/>
                    </w:r>
                    <w:r>
                      <w:rPr>
                        <w:sz w:val="18"/>
                      </w:rPr>
                      <w:t xml:space="preserve"> of </w:t>
                    </w:r>
                    <w:r>
                      <w:rPr>
                        <w:sz w:val="18"/>
                      </w:rPr>
                      <w:fldChar w:fldCharType="begin"/>
                    </w:r>
                    <w:r>
                      <w:rPr>
                        <w:sz w:val="18"/>
                      </w:rPr>
                      <w:instrText xml:space="preserve"> NUMPAGES </w:instrText>
                    </w:r>
                    <w:r>
                      <w:rPr>
                        <w:sz w:val="18"/>
                      </w:rPr>
                      <w:fldChar w:fldCharType="separate"/>
                    </w:r>
                    <w:r>
                      <w:rPr>
                        <w:sz w:val="18"/>
                      </w:rPr>
                      <w:t>31</w:t>
                    </w:r>
                    <w:r>
                      <w:rPr>
                        <w:sz w:val="18"/>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A98A1" w14:textId="77777777" w:rsidR="00E41A5B" w:rsidRDefault="00DA7B02">
    <w:pPr>
      <w:pStyle w:val="BodyText"/>
      <w:spacing w:line="14" w:lineRule="auto"/>
      <w:jc w:val="left"/>
      <w:rPr>
        <w:sz w:val="20"/>
      </w:rPr>
    </w:pPr>
    <w:r>
      <w:rPr>
        <w:noProof/>
      </w:rPr>
      <mc:AlternateContent>
        <mc:Choice Requires="wps">
          <w:drawing>
            <wp:anchor distT="0" distB="0" distL="0" distR="0" simplePos="0" relativeHeight="487006720" behindDoc="1" locked="0" layoutInCell="1" allowOverlap="1" wp14:anchorId="365A98A4" wp14:editId="05BB7200">
              <wp:simplePos x="0" y="0"/>
              <wp:positionH relativeFrom="page">
                <wp:posOffset>259307</wp:posOffset>
              </wp:positionH>
              <wp:positionV relativeFrom="page">
                <wp:posOffset>9062112</wp:posOffset>
              </wp:positionV>
              <wp:extent cx="2440940" cy="6755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0940" cy="675565"/>
                      </a:xfrm>
                      <a:prstGeom prst="rect">
                        <a:avLst/>
                      </a:prstGeom>
                    </wps:spPr>
                    <wps:txbx>
                      <w:txbxContent>
                        <w:p w14:paraId="72DF3C0A" w14:textId="77777777" w:rsidR="009148E4" w:rsidRDefault="00DA7B02">
                          <w:pPr>
                            <w:spacing w:before="12"/>
                            <w:ind w:left="20"/>
                            <w:rPr>
                              <w:sz w:val="18"/>
                            </w:rPr>
                          </w:pPr>
                          <w:r>
                            <w:rPr>
                              <w:sz w:val="18"/>
                            </w:rPr>
                            <w:t>DETR/ESD/Workforce</w:t>
                          </w:r>
                          <w:r>
                            <w:rPr>
                              <w:spacing w:val="-12"/>
                              <w:sz w:val="18"/>
                            </w:rPr>
                            <w:t xml:space="preserve"> </w:t>
                          </w:r>
                          <w:r w:rsidR="009148E4">
                            <w:rPr>
                              <w:sz w:val="18"/>
                            </w:rPr>
                            <w:t>Programs</w:t>
                          </w:r>
                          <w:r>
                            <w:rPr>
                              <w:sz w:val="18"/>
                            </w:rPr>
                            <w:t xml:space="preserve"> </w:t>
                          </w:r>
                        </w:p>
                        <w:p w14:paraId="365A98A8" w14:textId="68FE99AA" w:rsidR="00E41A5B" w:rsidRDefault="00DA7B02">
                          <w:pPr>
                            <w:spacing w:before="12"/>
                            <w:ind w:left="20"/>
                            <w:rPr>
                              <w:sz w:val="18"/>
                            </w:rPr>
                          </w:pPr>
                          <w:r>
                            <w:rPr>
                              <w:sz w:val="18"/>
                            </w:rPr>
                            <w:t>WIOA State Compliance Polic</w:t>
                          </w:r>
                          <w:r w:rsidR="009148E4">
                            <w:rPr>
                              <w:sz w:val="18"/>
                            </w:rPr>
                            <w:t>ies</w:t>
                          </w:r>
                        </w:p>
                        <w:p w14:paraId="41E40BA8" w14:textId="77777777" w:rsidR="009148E4" w:rsidRDefault="009148E4">
                          <w:pPr>
                            <w:spacing w:before="1"/>
                            <w:ind w:left="20" w:right="420"/>
                            <w:rPr>
                              <w:sz w:val="18"/>
                            </w:rPr>
                          </w:pPr>
                          <w:r>
                            <w:rPr>
                              <w:sz w:val="18"/>
                            </w:rPr>
                            <w:t xml:space="preserve">SCP 1.22 </w:t>
                          </w:r>
                          <w:r w:rsidR="00DA7B02">
                            <w:rPr>
                              <w:sz w:val="18"/>
                            </w:rPr>
                            <w:t>One-Stop</w:t>
                          </w:r>
                          <w:r w:rsidR="00DA7B02">
                            <w:rPr>
                              <w:spacing w:val="-6"/>
                              <w:sz w:val="18"/>
                            </w:rPr>
                            <w:t xml:space="preserve"> </w:t>
                          </w:r>
                          <w:r w:rsidR="00DA7B02">
                            <w:rPr>
                              <w:sz w:val="18"/>
                            </w:rPr>
                            <w:t>Infrastructure</w:t>
                          </w:r>
                          <w:r w:rsidR="00DA7B02">
                            <w:rPr>
                              <w:spacing w:val="-8"/>
                              <w:sz w:val="18"/>
                            </w:rPr>
                            <w:t xml:space="preserve"> </w:t>
                          </w:r>
                          <w:r w:rsidR="00DA7B02">
                            <w:rPr>
                              <w:sz w:val="18"/>
                            </w:rPr>
                            <w:t>Funding</w:t>
                          </w:r>
                          <w:r w:rsidR="00DA7B02">
                            <w:rPr>
                              <w:spacing w:val="-11"/>
                              <w:sz w:val="18"/>
                            </w:rPr>
                            <w:t xml:space="preserve"> </w:t>
                          </w:r>
                          <w:r w:rsidR="00DA7B02">
                            <w:rPr>
                              <w:sz w:val="18"/>
                            </w:rPr>
                            <w:t>July</w:t>
                          </w:r>
                          <w:r w:rsidR="00DA7B02">
                            <w:rPr>
                              <w:spacing w:val="-11"/>
                              <w:sz w:val="18"/>
                            </w:rPr>
                            <w:t xml:space="preserve"> </w:t>
                          </w:r>
                          <w:r w:rsidR="00DA7B02">
                            <w:rPr>
                              <w:sz w:val="18"/>
                            </w:rPr>
                            <w:t xml:space="preserve">2017 </w:t>
                          </w:r>
                        </w:p>
                        <w:p w14:paraId="365A98A9" w14:textId="03111876" w:rsidR="00E41A5B" w:rsidRDefault="00DA7B02">
                          <w:pPr>
                            <w:spacing w:before="1"/>
                            <w:ind w:left="20" w:right="420"/>
                            <w:rPr>
                              <w:sz w:val="18"/>
                            </w:rPr>
                          </w:pPr>
                          <w:r>
                            <w:rPr>
                              <w:sz w:val="18"/>
                            </w:rPr>
                            <w:t xml:space="preserve">Page </w:t>
                          </w:r>
                          <w:r>
                            <w:rPr>
                              <w:sz w:val="18"/>
                            </w:rPr>
                            <w:fldChar w:fldCharType="begin"/>
                          </w:r>
                          <w:r>
                            <w:rPr>
                              <w:sz w:val="18"/>
                            </w:rPr>
                            <w:instrText xml:space="preserve"> PAGE </w:instrText>
                          </w:r>
                          <w:r>
                            <w:rPr>
                              <w:sz w:val="18"/>
                            </w:rPr>
                            <w:fldChar w:fldCharType="separate"/>
                          </w:r>
                          <w:r>
                            <w:rPr>
                              <w:sz w:val="18"/>
                            </w:rPr>
                            <w:t>28</w:t>
                          </w:r>
                          <w:r>
                            <w:rPr>
                              <w:sz w:val="18"/>
                            </w:rPr>
                            <w:fldChar w:fldCharType="end"/>
                          </w:r>
                          <w:r>
                            <w:rPr>
                              <w:sz w:val="18"/>
                            </w:rPr>
                            <w:t xml:space="preserve"> of </w:t>
                          </w:r>
                          <w:r>
                            <w:rPr>
                              <w:sz w:val="18"/>
                            </w:rPr>
                            <w:fldChar w:fldCharType="begin"/>
                          </w:r>
                          <w:r>
                            <w:rPr>
                              <w:sz w:val="18"/>
                            </w:rPr>
                            <w:instrText xml:space="preserve"> NUMPAGES </w:instrText>
                          </w:r>
                          <w:r>
                            <w:rPr>
                              <w:sz w:val="18"/>
                            </w:rPr>
                            <w:fldChar w:fldCharType="separate"/>
                          </w:r>
                          <w:r>
                            <w:rPr>
                              <w:sz w:val="18"/>
                            </w:rPr>
                            <w:t>31</w:t>
                          </w:r>
                          <w:r>
                            <w:rPr>
                              <w:sz w:val="18"/>
                            </w:rPr>
                            <w:fldChar w:fldCharType="end"/>
                          </w:r>
                        </w:p>
                      </w:txbxContent>
                    </wps:txbx>
                    <wps:bodyPr wrap="square" lIns="0" tIns="0" rIns="0" bIns="0" rtlCol="0">
                      <a:noAutofit/>
                    </wps:bodyPr>
                  </wps:wsp>
                </a:graphicData>
              </a:graphic>
              <wp14:sizeRelV relativeFrom="margin">
                <wp14:pctHeight>0</wp14:pctHeight>
              </wp14:sizeRelV>
            </wp:anchor>
          </w:drawing>
        </mc:Choice>
        <mc:Fallback>
          <w:pict>
            <v:shapetype w14:anchorId="365A98A4" id="_x0000_t202" coordsize="21600,21600" o:spt="202" path="m,l,21600r21600,l21600,xe">
              <v:stroke joinstyle="miter"/>
              <v:path gradientshapeok="t" o:connecttype="rect"/>
            </v:shapetype>
            <v:shape id="Textbox 2" o:spid="_x0000_s1027" type="#_x0000_t202" style="position:absolute;margin-left:20.4pt;margin-top:713.55pt;width:192.2pt;height:53.2pt;z-index:-16309760;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" filled="f" stroked="f">
              <v:textbox inset="0,0,0,0">
                <w:txbxContent>
                  <w:p w14:paraId="72DF3C0A" w14:textId="77777777" w:rsidR="009148E4" w:rsidRDefault="00DA7B02">
                    <w:pPr>
                      <w:spacing w:before="12"/>
                      <w:ind w:left="20"/>
                      <w:rPr>
                        <w:sz w:val="18"/>
                      </w:rPr>
                    </w:pPr>
                    <w:r>
                      <w:rPr>
                        <w:sz w:val="18"/>
                      </w:rPr>
                      <w:t>DETR/ESD/Workforce</w:t>
                    </w:r>
                    <w:r>
                      <w:rPr>
                        <w:spacing w:val="-12"/>
                        <w:sz w:val="18"/>
                      </w:rPr>
                      <w:t xml:space="preserve"> </w:t>
                    </w:r>
                    <w:r w:rsidR="009148E4">
                      <w:rPr>
                        <w:sz w:val="18"/>
                      </w:rPr>
                      <w:t>Programs</w:t>
                    </w:r>
                    <w:r>
                      <w:rPr>
                        <w:sz w:val="18"/>
                      </w:rPr>
                      <w:t xml:space="preserve"> </w:t>
                    </w:r>
                  </w:p>
                  <w:p w14:paraId="365A98A8" w14:textId="68FE99AA" w:rsidR="00E41A5B" w:rsidRDefault="00DA7B02">
                    <w:pPr>
                      <w:spacing w:before="12"/>
                      <w:ind w:left="20"/>
                      <w:rPr>
                        <w:sz w:val="18"/>
                      </w:rPr>
                    </w:pPr>
                    <w:r>
                      <w:rPr>
                        <w:sz w:val="18"/>
                      </w:rPr>
                      <w:t>WIOA State Compliance Polic</w:t>
                    </w:r>
                    <w:r w:rsidR="009148E4">
                      <w:rPr>
                        <w:sz w:val="18"/>
                      </w:rPr>
                      <w:t>ies</w:t>
                    </w:r>
                  </w:p>
                  <w:p w14:paraId="41E40BA8" w14:textId="77777777" w:rsidR="009148E4" w:rsidRDefault="009148E4">
                    <w:pPr>
                      <w:spacing w:before="1"/>
                      <w:ind w:left="20" w:right="420"/>
                      <w:rPr>
                        <w:sz w:val="18"/>
                      </w:rPr>
                    </w:pPr>
                    <w:r>
                      <w:rPr>
                        <w:sz w:val="18"/>
                      </w:rPr>
                      <w:t xml:space="preserve">SCP 1.22 </w:t>
                    </w:r>
                    <w:r w:rsidR="00DA7B02">
                      <w:rPr>
                        <w:sz w:val="18"/>
                      </w:rPr>
                      <w:t>One-Stop</w:t>
                    </w:r>
                    <w:r w:rsidR="00DA7B02">
                      <w:rPr>
                        <w:spacing w:val="-6"/>
                        <w:sz w:val="18"/>
                      </w:rPr>
                      <w:t xml:space="preserve"> </w:t>
                    </w:r>
                    <w:r w:rsidR="00DA7B02">
                      <w:rPr>
                        <w:sz w:val="18"/>
                      </w:rPr>
                      <w:t>Infrastructure</w:t>
                    </w:r>
                    <w:r w:rsidR="00DA7B02">
                      <w:rPr>
                        <w:spacing w:val="-8"/>
                        <w:sz w:val="18"/>
                      </w:rPr>
                      <w:t xml:space="preserve"> </w:t>
                    </w:r>
                    <w:r w:rsidR="00DA7B02">
                      <w:rPr>
                        <w:sz w:val="18"/>
                      </w:rPr>
                      <w:t>Funding</w:t>
                    </w:r>
                    <w:r w:rsidR="00DA7B02">
                      <w:rPr>
                        <w:spacing w:val="-11"/>
                        <w:sz w:val="18"/>
                      </w:rPr>
                      <w:t xml:space="preserve"> </w:t>
                    </w:r>
                    <w:r w:rsidR="00DA7B02">
                      <w:rPr>
                        <w:sz w:val="18"/>
                      </w:rPr>
                      <w:t>July</w:t>
                    </w:r>
                    <w:r w:rsidR="00DA7B02">
                      <w:rPr>
                        <w:spacing w:val="-11"/>
                        <w:sz w:val="18"/>
                      </w:rPr>
                      <w:t xml:space="preserve"> </w:t>
                    </w:r>
                    <w:r w:rsidR="00DA7B02">
                      <w:rPr>
                        <w:sz w:val="18"/>
                      </w:rPr>
                      <w:t xml:space="preserve">2017 </w:t>
                    </w:r>
                  </w:p>
                  <w:p w14:paraId="365A98A9" w14:textId="03111876" w:rsidR="00E41A5B" w:rsidRDefault="00DA7B02">
                    <w:pPr>
                      <w:spacing w:before="1"/>
                      <w:ind w:left="20" w:right="420"/>
                      <w:rPr>
                        <w:sz w:val="18"/>
                      </w:rPr>
                    </w:pPr>
                    <w:r>
                      <w:rPr>
                        <w:sz w:val="18"/>
                      </w:rPr>
                      <w:t xml:space="preserve">Page </w:t>
                    </w:r>
                    <w:r>
                      <w:rPr>
                        <w:sz w:val="18"/>
                      </w:rPr>
                      <w:fldChar w:fldCharType="begin"/>
                    </w:r>
                    <w:r>
                      <w:rPr>
                        <w:sz w:val="18"/>
                      </w:rPr>
                      <w:instrText xml:space="preserve"> PAGE </w:instrText>
                    </w:r>
                    <w:r>
                      <w:rPr>
                        <w:sz w:val="18"/>
                      </w:rPr>
                      <w:fldChar w:fldCharType="separate"/>
                    </w:r>
                    <w:r>
                      <w:rPr>
                        <w:sz w:val="18"/>
                      </w:rPr>
                      <w:t>28</w:t>
                    </w:r>
                    <w:r>
                      <w:rPr>
                        <w:sz w:val="18"/>
                      </w:rPr>
                      <w:fldChar w:fldCharType="end"/>
                    </w:r>
                    <w:r>
                      <w:rPr>
                        <w:sz w:val="18"/>
                      </w:rPr>
                      <w:t xml:space="preserve"> of </w:t>
                    </w:r>
                    <w:r>
                      <w:rPr>
                        <w:sz w:val="18"/>
                      </w:rPr>
                      <w:fldChar w:fldCharType="begin"/>
                    </w:r>
                    <w:r>
                      <w:rPr>
                        <w:sz w:val="18"/>
                      </w:rPr>
                      <w:instrText xml:space="preserve"> NUMPAGES </w:instrText>
                    </w:r>
                    <w:r>
                      <w:rPr>
                        <w:sz w:val="18"/>
                      </w:rPr>
                      <w:fldChar w:fldCharType="separate"/>
                    </w:r>
                    <w:r>
                      <w:rPr>
                        <w:sz w:val="18"/>
                      </w:rPr>
                      <w:t>31</w:t>
                    </w:r>
                    <w:r>
                      <w:rPr>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B48C8" w14:textId="77777777" w:rsidR="00DA7B02" w:rsidRDefault="00DA7B02">
      <w:r>
        <w:separator/>
      </w:r>
    </w:p>
  </w:footnote>
  <w:footnote w:type="continuationSeparator" w:id="0">
    <w:p w14:paraId="74E17A08" w14:textId="77777777" w:rsidR="00DA7B02" w:rsidRDefault="00DA7B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7632A"/>
    <w:multiLevelType w:val="hybridMultilevel"/>
    <w:tmpl w:val="FD986D1A"/>
    <w:lvl w:ilvl="0" w:tplc="D80E0F8A">
      <w:start w:val="1"/>
      <w:numFmt w:val="lowerLetter"/>
      <w:lvlText w:val="%1)"/>
      <w:lvlJc w:val="left"/>
      <w:pPr>
        <w:ind w:left="1931" w:hanging="272"/>
      </w:pPr>
      <w:rPr>
        <w:rFonts w:ascii="Times New Roman" w:eastAsia="Times New Roman" w:hAnsi="Times New Roman" w:cs="Times New Roman" w:hint="default"/>
        <w:b w:val="0"/>
        <w:bCs w:val="0"/>
        <w:i w:val="0"/>
        <w:iCs w:val="0"/>
        <w:spacing w:val="-1"/>
        <w:w w:val="100"/>
        <w:sz w:val="24"/>
        <w:szCs w:val="24"/>
        <w:lang w:val="en-US" w:eastAsia="en-US" w:bidi="ar-SA"/>
      </w:rPr>
    </w:lvl>
    <w:lvl w:ilvl="1" w:tplc="9768E840">
      <w:numFmt w:val="bullet"/>
      <w:lvlText w:val="•"/>
      <w:lvlJc w:val="left"/>
      <w:pPr>
        <w:ind w:left="2948" w:hanging="272"/>
      </w:pPr>
      <w:rPr>
        <w:rFonts w:hint="default"/>
        <w:lang w:val="en-US" w:eastAsia="en-US" w:bidi="ar-SA"/>
      </w:rPr>
    </w:lvl>
    <w:lvl w:ilvl="2" w:tplc="A0BA6B58">
      <w:numFmt w:val="bullet"/>
      <w:lvlText w:val="•"/>
      <w:lvlJc w:val="left"/>
      <w:pPr>
        <w:ind w:left="3956" w:hanging="272"/>
      </w:pPr>
      <w:rPr>
        <w:rFonts w:hint="default"/>
        <w:lang w:val="en-US" w:eastAsia="en-US" w:bidi="ar-SA"/>
      </w:rPr>
    </w:lvl>
    <w:lvl w:ilvl="3" w:tplc="B06A4A9A">
      <w:numFmt w:val="bullet"/>
      <w:lvlText w:val="•"/>
      <w:lvlJc w:val="left"/>
      <w:pPr>
        <w:ind w:left="4964" w:hanging="272"/>
      </w:pPr>
      <w:rPr>
        <w:rFonts w:hint="default"/>
        <w:lang w:val="en-US" w:eastAsia="en-US" w:bidi="ar-SA"/>
      </w:rPr>
    </w:lvl>
    <w:lvl w:ilvl="4" w:tplc="6B8AF916">
      <w:numFmt w:val="bullet"/>
      <w:lvlText w:val="•"/>
      <w:lvlJc w:val="left"/>
      <w:pPr>
        <w:ind w:left="5972" w:hanging="272"/>
      </w:pPr>
      <w:rPr>
        <w:rFonts w:hint="default"/>
        <w:lang w:val="en-US" w:eastAsia="en-US" w:bidi="ar-SA"/>
      </w:rPr>
    </w:lvl>
    <w:lvl w:ilvl="5" w:tplc="85F8F366">
      <w:numFmt w:val="bullet"/>
      <w:lvlText w:val="•"/>
      <w:lvlJc w:val="left"/>
      <w:pPr>
        <w:ind w:left="6980" w:hanging="272"/>
      </w:pPr>
      <w:rPr>
        <w:rFonts w:hint="default"/>
        <w:lang w:val="en-US" w:eastAsia="en-US" w:bidi="ar-SA"/>
      </w:rPr>
    </w:lvl>
    <w:lvl w:ilvl="6" w:tplc="38F0A788">
      <w:numFmt w:val="bullet"/>
      <w:lvlText w:val="•"/>
      <w:lvlJc w:val="left"/>
      <w:pPr>
        <w:ind w:left="7988" w:hanging="272"/>
      </w:pPr>
      <w:rPr>
        <w:rFonts w:hint="default"/>
        <w:lang w:val="en-US" w:eastAsia="en-US" w:bidi="ar-SA"/>
      </w:rPr>
    </w:lvl>
    <w:lvl w:ilvl="7" w:tplc="C0B0DB46">
      <w:numFmt w:val="bullet"/>
      <w:lvlText w:val="•"/>
      <w:lvlJc w:val="left"/>
      <w:pPr>
        <w:ind w:left="8996" w:hanging="272"/>
      </w:pPr>
      <w:rPr>
        <w:rFonts w:hint="default"/>
        <w:lang w:val="en-US" w:eastAsia="en-US" w:bidi="ar-SA"/>
      </w:rPr>
    </w:lvl>
    <w:lvl w:ilvl="8" w:tplc="C4324DAC">
      <w:numFmt w:val="bullet"/>
      <w:lvlText w:val="•"/>
      <w:lvlJc w:val="left"/>
      <w:pPr>
        <w:ind w:left="10004" w:hanging="272"/>
      </w:pPr>
      <w:rPr>
        <w:rFonts w:hint="default"/>
        <w:lang w:val="en-US" w:eastAsia="en-US" w:bidi="ar-SA"/>
      </w:rPr>
    </w:lvl>
  </w:abstractNum>
  <w:abstractNum w:abstractNumId="1" w15:restartNumberingAfterBreak="0">
    <w:nsid w:val="0C8A44CE"/>
    <w:multiLevelType w:val="hybridMultilevel"/>
    <w:tmpl w:val="0E3EC8B4"/>
    <w:lvl w:ilvl="0" w:tplc="0A94208A">
      <w:start w:val="1"/>
      <w:numFmt w:val="decimal"/>
      <w:lvlText w:val="%1."/>
      <w:lvlJc w:val="left"/>
      <w:pPr>
        <w:ind w:left="1300" w:hanging="401"/>
      </w:pPr>
      <w:rPr>
        <w:rFonts w:ascii="Times New Roman" w:eastAsia="Times New Roman" w:hAnsi="Times New Roman" w:cs="Times New Roman" w:hint="default"/>
        <w:b/>
        <w:bCs/>
        <w:i w:val="0"/>
        <w:iCs w:val="0"/>
        <w:spacing w:val="0"/>
        <w:w w:val="100"/>
        <w:sz w:val="24"/>
        <w:szCs w:val="24"/>
        <w:lang w:val="en-US" w:eastAsia="en-US" w:bidi="ar-SA"/>
      </w:rPr>
    </w:lvl>
    <w:lvl w:ilvl="1" w:tplc="A812346E">
      <w:numFmt w:val="bullet"/>
      <w:lvlText w:val=""/>
      <w:lvlJc w:val="left"/>
      <w:pPr>
        <w:ind w:left="2291" w:hanging="360"/>
      </w:pPr>
      <w:rPr>
        <w:rFonts w:ascii="Symbol" w:eastAsia="Symbol" w:hAnsi="Symbol" w:cs="Symbol" w:hint="default"/>
        <w:b w:val="0"/>
        <w:bCs w:val="0"/>
        <w:i w:val="0"/>
        <w:iCs w:val="0"/>
        <w:spacing w:val="0"/>
        <w:w w:val="100"/>
        <w:sz w:val="24"/>
        <w:szCs w:val="24"/>
        <w:lang w:val="en-US" w:eastAsia="en-US" w:bidi="ar-SA"/>
      </w:rPr>
    </w:lvl>
    <w:lvl w:ilvl="2" w:tplc="CB8EA230">
      <w:numFmt w:val="bullet"/>
      <w:lvlText w:val="•"/>
      <w:lvlJc w:val="left"/>
      <w:pPr>
        <w:ind w:left="2300" w:hanging="360"/>
      </w:pPr>
      <w:rPr>
        <w:rFonts w:hint="default"/>
        <w:lang w:val="en-US" w:eastAsia="en-US" w:bidi="ar-SA"/>
      </w:rPr>
    </w:lvl>
    <w:lvl w:ilvl="3" w:tplc="899EF414">
      <w:numFmt w:val="bullet"/>
      <w:lvlText w:val="•"/>
      <w:lvlJc w:val="left"/>
      <w:pPr>
        <w:ind w:left="2740" w:hanging="360"/>
      </w:pPr>
      <w:rPr>
        <w:rFonts w:hint="default"/>
        <w:lang w:val="en-US" w:eastAsia="en-US" w:bidi="ar-SA"/>
      </w:rPr>
    </w:lvl>
    <w:lvl w:ilvl="4" w:tplc="300C8658">
      <w:numFmt w:val="bullet"/>
      <w:lvlText w:val="•"/>
      <w:lvlJc w:val="left"/>
      <w:pPr>
        <w:ind w:left="4065" w:hanging="360"/>
      </w:pPr>
      <w:rPr>
        <w:rFonts w:hint="default"/>
        <w:lang w:val="en-US" w:eastAsia="en-US" w:bidi="ar-SA"/>
      </w:rPr>
    </w:lvl>
    <w:lvl w:ilvl="5" w:tplc="73CAA652">
      <w:numFmt w:val="bullet"/>
      <w:lvlText w:val="•"/>
      <w:lvlJc w:val="left"/>
      <w:pPr>
        <w:ind w:left="5391" w:hanging="360"/>
      </w:pPr>
      <w:rPr>
        <w:rFonts w:hint="default"/>
        <w:lang w:val="en-US" w:eastAsia="en-US" w:bidi="ar-SA"/>
      </w:rPr>
    </w:lvl>
    <w:lvl w:ilvl="6" w:tplc="486E0906">
      <w:numFmt w:val="bullet"/>
      <w:lvlText w:val="•"/>
      <w:lvlJc w:val="left"/>
      <w:pPr>
        <w:ind w:left="6717" w:hanging="360"/>
      </w:pPr>
      <w:rPr>
        <w:rFonts w:hint="default"/>
        <w:lang w:val="en-US" w:eastAsia="en-US" w:bidi="ar-SA"/>
      </w:rPr>
    </w:lvl>
    <w:lvl w:ilvl="7" w:tplc="703AFC56">
      <w:numFmt w:val="bullet"/>
      <w:lvlText w:val="•"/>
      <w:lvlJc w:val="left"/>
      <w:pPr>
        <w:ind w:left="8042" w:hanging="360"/>
      </w:pPr>
      <w:rPr>
        <w:rFonts w:hint="default"/>
        <w:lang w:val="en-US" w:eastAsia="en-US" w:bidi="ar-SA"/>
      </w:rPr>
    </w:lvl>
    <w:lvl w:ilvl="8" w:tplc="FC4218B6">
      <w:numFmt w:val="bullet"/>
      <w:lvlText w:val="•"/>
      <w:lvlJc w:val="left"/>
      <w:pPr>
        <w:ind w:left="9368" w:hanging="360"/>
      </w:pPr>
      <w:rPr>
        <w:rFonts w:hint="default"/>
        <w:lang w:val="en-US" w:eastAsia="en-US" w:bidi="ar-SA"/>
      </w:rPr>
    </w:lvl>
  </w:abstractNum>
  <w:abstractNum w:abstractNumId="2" w15:restartNumberingAfterBreak="0">
    <w:nsid w:val="15BB5D73"/>
    <w:multiLevelType w:val="hybridMultilevel"/>
    <w:tmpl w:val="9EF81C2A"/>
    <w:lvl w:ilvl="0" w:tplc="E9A86A3E">
      <w:numFmt w:val="bullet"/>
      <w:lvlText w:val=""/>
      <w:lvlJc w:val="left"/>
      <w:pPr>
        <w:ind w:left="256" w:hanging="180"/>
      </w:pPr>
      <w:rPr>
        <w:rFonts w:ascii="Wingdings" w:eastAsia="Wingdings" w:hAnsi="Wingdings" w:cs="Wingdings" w:hint="default"/>
        <w:b w:val="0"/>
        <w:bCs w:val="0"/>
        <w:i w:val="0"/>
        <w:iCs w:val="0"/>
        <w:spacing w:val="0"/>
        <w:w w:val="100"/>
        <w:sz w:val="18"/>
        <w:szCs w:val="18"/>
        <w:lang w:val="en-US" w:eastAsia="en-US" w:bidi="ar-SA"/>
      </w:rPr>
    </w:lvl>
    <w:lvl w:ilvl="1" w:tplc="5CAE0E90">
      <w:numFmt w:val="bullet"/>
      <w:lvlText w:val="•"/>
      <w:lvlJc w:val="left"/>
      <w:pPr>
        <w:ind w:left="1312" w:hanging="180"/>
      </w:pPr>
      <w:rPr>
        <w:rFonts w:hint="default"/>
        <w:lang w:val="en-US" w:eastAsia="en-US" w:bidi="ar-SA"/>
      </w:rPr>
    </w:lvl>
    <w:lvl w:ilvl="2" w:tplc="0B263414">
      <w:numFmt w:val="bullet"/>
      <w:lvlText w:val="•"/>
      <w:lvlJc w:val="left"/>
      <w:pPr>
        <w:ind w:left="2364" w:hanging="180"/>
      </w:pPr>
      <w:rPr>
        <w:rFonts w:hint="default"/>
        <w:lang w:val="en-US" w:eastAsia="en-US" w:bidi="ar-SA"/>
      </w:rPr>
    </w:lvl>
    <w:lvl w:ilvl="3" w:tplc="60E6B3C6">
      <w:numFmt w:val="bullet"/>
      <w:lvlText w:val="•"/>
      <w:lvlJc w:val="left"/>
      <w:pPr>
        <w:ind w:left="3416" w:hanging="180"/>
      </w:pPr>
      <w:rPr>
        <w:rFonts w:hint="default"/>
        <w:lang w:val="en-US" w:eastAsia="en-US" w:bidi="ar-SA"/>
      </w:rPr>
    </w:lvl>
    <w:lvl w:ilvl="4" w:tplc="5F580B3A">
      <w:numFmt w:val="bullet"/>
      <w:lvlText w:val="•"/>
      <w:lvlJc w:val="left"/>
      <w:pPr>
        <w:ind w:left="4468" w:hanging="180"/>
      </w:pPr>
      <w:rPr>
        <w:rFonts w:hint="default"/>
        <w:lang w:val="en-US" w:eastAsia="en-US" w:bidi="ar-SA"/>
      </w:rPr>
    </w:lvl>
    <w:lvl w:ilvl="5" w:tplc="EF7AD5E6">
      <w:numFmt w:val="bullet"/>
      <w:lvlText w:val="•"/>
      <w:lvlJc w:val="left"/>
      <w:pPr>
        <w:ind w:left="5520" w:hanging="180"/>
      </w:pPr>
      <w:rPr>
        <w:rFonts w:hint="default"/>
        <w:lang w:val="en-US" w:eastAsia="en-US" w:bidi="ar-SA"/>
      </w:rPr>
    </w:lvl>
    <w:lvl w:ilvl="6" w:tplc="7F989306">
      <w:numFmt w:val="bullet"/>
      <w:lvlText w:val="•"/>
      <w:lvlJc w:val="left"/>
      <w:pPr>
        <w:ind w:left="6572" w:hanging="180"/>
      </w:pPr>
      <w:rPr>
        <w:rFonts w:hint="default"/>
        <w:lang w:val="en-US" w:eastAsia="en-US" w:bidi="ar-SA"/>
      </w:rPr>
    </w:lvl>
    <w:lvl w:ilvl="7" w:tplc="D368D28C">
      <w:numFmt w:val="bullet"/>
      <w:lvlText w:val="•"/>
      <w:lvlJc w:val="left"/>
      <w:pPr>
        <w:ind w:left="7624" w:hanging="180"/>
      </w:pPr>
      <w:rPr>
        <w:rFonts w:hint="default"/>
        <w:lang w:val="en-US" w:eastAsia="en-US" w:bidi="ar-SA"/>
      </w:rPr>
    </w:lvl>
    <w:lvl w:ilvl="8" w:tplc="0358C86A">
      <w:numFmt w:val="bullet"/>
      <w:lvlText w:val="•"/>
      <w:lvlJc w:val="left"/>
      <w:pPr>
        <w:ind w:left="8676" w:hanging="180"/>
      </w:pPr>
      <w:rPr>
        <w:rFonts w:hint="default"/>
        <w:lang w:val="en-US" w:eastAsia="en-US" w:bidi="ar-SA"/>
      </w:rPr>
    </w:lvl>
  </w:abstractNum>
  <w:abstractNum w:abstractNumId="3" w15:restartNumberingAfterBreak="0">
    <w:nsid w:val="19021144"/>
    <w:multiLevelType w:val="hybridMultilevel"/>
    <w:tmpl w:val="17B28D08"/>
    <w:lvl w:ilvl="0" w:tplc="0E88B506">
      <w:numFmt w:val="bullet"/>
      <w:lvlText w:val=""/>
      <w:lvlJc w:val="left"/>
      <w:pPr>
        <w:ind w:left="527" w:hanging="180"/>
      </w:pPr>
      <w:rPr>
        <w:rFonts w:ascii="Symbol" w:eastAsia="Symbol" w:hAnsi="Symbol" w:cs="Symbol" w:hint="default"/>
        <w:b w:val="0"/>
        <w:bCs w:val="0"/>
        <w:i w:val="0"/>
        <w:iCs w:val="0"/>
        <w:spacing w:val="0"/>
        <w:w w:val="100"/>
        <w:sz w:val="16"/>
        <w:szCs w:val="16"/>
        <w:lang w:val="en-US" w:eastAsia="en-US" w:bidi="ar-SA"/>
      </w:rPr>
    </w:lvl>
    <w:lvl w:ilvl="1" w:tplc="5B4E41CC">
      <w:numFmt w:val="bullet"/>
      <w:lvlText w:val="•"/>
      <w:lvlJc w:val="left"/>
      <w:pPr>
        <w:ind w:left="998" w:hanging="180"/>
      </w:pPr>
      <w:rPr>
        <w:rFonts w:hint="default"/>
        <w:lang w:val="en-US" w:eastAsia="en-US" w:bidi="ar-SA"/>
      </w:rPr>
    </w:lvl>
    <w:lvl w:ilvl="2" w:tplc="945C13FE">
      <w:numFmt w:val="bullet"/>
      <w:lvlText w:val="•"/>
      <w:lvlJc w:val="left"/>
      <w:pPr>
        <w:ind w:left="1476" w:hanging="180"/>
      </w:pPr>
      <w:rPr>
        <w:rFonts w:hint="default"/>
        <w:lang w:val="en-US" w:eastAsia="en-US" w:bidi="ar-SA"/>
      </w:rPr>
    </w:lvl>
    <w:lvl w:ilvl="3" w:tplc="74045EB8">
      <w:numFmt w:val="bullet"/>
      <w:lvlText w:val="•"/>
      <w:lvlJc w:val="left"/>
      <w:pPr>
        <w:ind w:left="1954" w:hanging="180"/>
      </w:pPr>
      <w:rPr>
        <w:rFonts w:hint="default"/>
        <w:lang w:val="en-US" w:eastAsia="en-US" w:bidi="ar-SA"/>
      </w:rPr>
    </w:lvl>
    <w:lvl w:ilvl="4" w:tplc="3BDA65C8">
      <w:numFmt w:val="bullet"/>
      <w:lvlText w:val="•"/>
      <w:lvlJc w:val="left"/>
      <w:pPr>
        <w:ind w:left="2432" w:hanging="180"/>
      </w:pPr>
      <w:rPr>
        <w:rFonts w:hint="default"/>
        <w:lang w:val="en-US" w:eastAsia="en-US" w:bidi="ar-SA"/>
      </w:rPr>
    </w:lvl>
    <w:lvl w:ilvl="5" w:tplc="00E0C7EA">
      <w:numFmt w:val="bullet"/>
      <w:lvlText w:val="•"/>
      <w:lvlJc w:val="left"/>
      <w:pPr>
        <w:ind w:left="2910" w:hanging="180"/>
      </w:pPr>
      <w:rPr>
        <w:rFonts w:hint="default"/>
        <w:lang w:val="en-US" w:eastAsia="en-US" w:bidi="ar-SA"/>
      </w:rPr>
    </w:lvl>
    <w:lvl w:ilvl="6" w:tplc="D3FE2E96">
      <w:numFmt w:val="bullet"/>
      <w:lvlText w:val="•"/>
      <w:lvlJc w:val="left"/>
      <w:pPr>
        <w:ind w:left="3388" w:hanging="180"/>
      </w:pPr>
      <w:rPr>
        <w:rFonts w:hint="default"/>
        <w:lang w:val="en-US" w:eastAsia="en-US" w:bidi="ar-SA"/>
      </w:rPr>
    </w:lvl>
    <w:lvl w:ilvl="7" w:tplc="832485A0">
      <w:numFmt w:val="bullet"/>
      <w:lvlText w:val="•"/>
      <w:lvlJc w:val="left"/>
      <w:pPr>
        <w:ind w:left="3866" w:hanging="180"/>
      </w:pPr>
      <w:rPr>
        <w:rFonts w:hint="default"/>
        <w:lang w:val="en-US" w:eastAsia="en-US" w:bidi="ar-SA"/>
      </w:rPr>
    </w:lvl>
    <w:lvl w:ilvl="8" w:tplc="AD3EA79E">
      <w:numFmt w:val="bullet"/>
      <w:lvlText w:val="•"/>
      <w:lvlJc w:val="left"/>
      <w:pPr>
        <w:ind w:left="4344" w:hanging="180"/>
      </w:pPr>
      <w:rPr>
        <w:rFonts w:hint="default"/>
        <w:lang w:val="en-US" w:eastAsia="en-US" w:bidi="ar-SA"/>
      </w:rPr>
    </w:lvl>
  </w:abstractNum>
  <w:abstractNum w:abstractNumId="4" w15:restartNumberingAfterBreak="0">
    <w:nsid w:val="2C9C28B3"/>
    <w:multiLevelType w:val="hybridMultilevel"/>
    <w:tmpl w:val="36A60D3A"/>
    <w:lvl w:ilvl="0" w:tplc="D012D446">
      <w:numFmt w:val="bullet"/>
      <w:lvlText w:val=""/>
      <w:lvlJc w:val="left"/>
      <w:pPr>
        <w:ind w:left="256" w:hanging="180"/>
      </w:pPr>
      <w:rPr>
        <w:rFonts w:ascii="Wingdings" w:eastAsia="Wingdings" w:hAnsi="Wingdings" w:cs="Wingdings" w:hint="default"/>
        <w:b w:val="0"/>
        <w:bCs w:val="0"/>
        <w:i w:val="0"/>
        <w:iCs w:val="0"/>
        <w:spacing w:val="0"/>
        <w:w w:val="100"/>
        <w:sz w:val="18"/>
        <w:szCs w:val="18"/>
        <w:lang w:val="en-US" w:eastAsia="en-US" w:bidi="ar-SA"/>
      </w:rPr>
    </w:lvl>
    <w:lvl w:ilvl="1" w:tplc="3236BD10">
      <w:numFmt w:val="bullet"/>
      <w:lvlText w:val="•"/>
      <w:lvlJc w:val="left"/>
      <w:pPr>
        <w:ind w:left="593" w:hanging="180"/>
      </w:pPr>
      <w:rPr>
        <w:rFonts w:hint="default"/>
        <w:lang w:val="en-US" w:eastAsia="en-US" w:bidi="ar-SA"/>
      </w:rPr>
    </w:lvl>
    <w:lvl w:ilvl="2" w:tplc="C174F880">
      <w:numFmt w:val="bullet"/>
      <w:lvlText w:val="•"/>
      <w:lvlJc w:val="left"/>
      <w:pPr>
        <w:ind w:left="926" w:hanging="180"/>
      </w:pPr>
      <w:rPr>
        <w:rFonts w:hint="default"/>
        <w:lang w:val="en-US" w:eastAsia="en-US" w:bidi="ar-SA"/>
      </w:rPr>
    </w:lvl>
    <w:lvl w:ilvl="3" w:tplc="F9E8DEA4">
      <w:numFmt w:val="bullet"/>
      <w:lvlText w:val="•"/>
      <w:lvlJc w:val="left"/>
      <w:pPr>
        <w:ind w:left="1259" w:hanging="180"/>
      </w:pPr>
      <w:rPr>
        <w:rFonts w:hint="default"/>
        <w:lang w:val="en-US" w:eastAsia="en-US" w:bidi="ar-SA"/>
      </w:rPr>
    </w:lvl>
    <w:lvl w:ilvl="4" w:tplc="CF46381C">
      <w:numFmt w:val="bullet"/>
      <w:lvlText w:val="•"/>
      <w:lvlJc w:val="left"/>
      <w:pPr>
        <w:ind w:left="1592" w:hanging="180"/>
      </w:pPr>
      <w:rPr>
        <w:rFonts w:hint="default"/>
        <w:lang w:val="en-US" w:eastAsia="en-US" w:bidi="ar-SA"/>
      </w:rPr>
    </w:lvl>
    <w:lvl w:ilvl="5" w:tplc="E692112C">
      <w:numFmt w:val="bullet"/>
      <w:lvlText w:val="•"/>
      <w:lvlJc w:val="left"/>
      <w:pPr>
        <w:ind w:left="1925" w:hanging="180"/>
      </w:pPr>
      <w:rPr>
        <w:rFonts w:hint="default"/>
        <w:lang w:val="en-US" w:eastAsia="en-US" w:bidi="ar-SA"/>
      </w:rPr>
    </w:lvl>
    <w:lvl w:ilvl="6" w:tplc="1FCC55EE">
      <w:numFmt w:val="bullet"/>
      <w:lvlText w:val="•"/>
      <w:lvlJc w:val="left"/>
      <w:pPr>
        <w:ind w:left="2258" w:hanging="180"/>
      </w:pPr>
      <w:rPr>
        <w:rFonts w:hint="default"/>
        <w:lang w:val="en-US" w:eastAsia="en-US" w:bidi="ar-SA"/>
      </w:rPr>
    </w:lvl>
    <w:lvl w:ilvl="7" w:tplc="1FECF90A">
      <w:numFmt w:val="bullet"/>
      <w:lvlText w:val="•"/>
      <w:lvlJc w:val="left"/>
      <w:pPr>
        <w:ind w:left="2591" w:hanging="180"/>
      </w:pPr>
      <w:rPr>
        <w:rFonts w:hint="default"/>
        <w:lang w:val="en-US" w:eastAsia="en-US" w:bidi="ar-SA"/>
      </w:rPr>
    </w:lvl>
    <w:lvl w:ilvl="8" w:tplc="B2AABB7A">
      <w:numFmt w:val="bullet"/>
      <w:lvlText w:val="•"/>
      <w:lvlJc w:val="left"/>
      <w:pPr>
        <w:ind w:left="2924" w:hanging="180"/>
      </w:pPr>
      <w:rPr>
        <w:rFonts w:hint="default"/>
        <w:lang w:val="en-US" w:eastAsia="en-US" w:bidi="ar-SA"/>
      </w:rPr>
    </w:lvl>
  </w:abstractNum>
  <w:abstractNum w:abstractNumId="5" w15:restartNumberingAfterBreak="0">
    <w:nsid w:val="30B67BC5"/>
    <w:multiLevelType w:val="hybridMultilevel"/>
    <w:tmpl w:val="2D242B14"/>
    <w:lvl w:ilvl="0" w:tplc="22F6A8FA">
      <w:numFmt w:val="bullet"/>
      <w:lvlText w:val=""/>
      <w:lvlJc w:val="left"/>
      <w:pPr>
        <w:ind w:left="256" w:hanging="180"/>
      </w:pPr>
      <w:rPr>
        <w:rFonts w:ascii="Wingdings" w:eastAsia="Wingdings" w:hAnsi="Wingdings" w:cs="Wingdings" w:hint="default"/>
        <w:b w:val="0"/>
        <w:bCs w:val="0"/>
        <w:i w:val="0"/>
        <w:iCs w:val="0"/>
        <w:spacing w:val="0"/>
        <w:w w:val="100"/>
        <w:sz w:val="18"/>
        <w:szCs w:val="18"/>
        <w:lang w:val="en-US" w:eastAsia="en-US" w:bidi="ar-SA"/>
      </w:rPr>
    </w:lvl>
    <w:lvl w:ilvl="1" w:tplc="F8E87FDC">
      <w:numFmt w:val="bullet"/>
      <w:lvlText w:val="•"/>
      <w:lvlJc w:val="left"/>
      <w:pPr>
        <w:ind w:left="556" w:hanging="180"/>
      </w:pPr>
      <w:rPr>
        <w:rFonts w:hint="default"/>
        <w:lang w:val="en-US" w:eastAsia="en-US" w:bidi="ar-SA"/>
      </w:rPr>
    </w:lvl>
    <w:lvl w:ilvl="2" w:tplc="BD7CB196">
      <w:numFmt w:val="bullet"/>
      <w:lvlText w:val="•"/>
      <w:lvlJc w:val="left"/>
      <w:pPr>
        <w:ind w:left="853" w:hanging="180"/>
      </w:pPr>
      <w:rPr>
        <w:rFonts w:hint="default"/>
        <w:lang w:val="en-US" w:eastAsia="en-US" w:bidi="ar-SA"/>
      </w:rPr>
    </w:lvl>
    <w:lvl w:ilvl="3" w:tplc="3632647A">
      <w:numFmt w:val="bullet"/>
      <w:lvlText w:val="•"/>
      <w:lvlJc w:val="left"/>
      <w:pPr>
        <w:ind w:left="1149" w:hanging="180"/>
      </w:pPr>
      <w:rPr>
        <w:rFonts w:hint="default"/>
        <w:lang w:val="en-US" w:eastAsia="en-US" w:bidi="ar-SA"/>
      </w:rPr>
    </w:lvl>
    <w:lvl w:ilvl="4" w:tplc="01C4FC18">
      <w:numFmt w:val="bullet"/>
      <w:lvlText w:val="•"/>
      <w:lvlJc w:val="left"/>
      <w:pPr>
        <w:ind w:left="1446" w:hanging="180"/>
      </w:pPr>
      <w:rPr>
        <w:rFonts w:hint="default"/>
        <w:lang w:val="en-US" w:eastAsia="en-US" w:bidi="ar-SA"/>
      </w:rPr>
    </w:lvl>
    <w:lvl w:ilvl="5" w:tplc="E99470C2">
      <w:numFmt w:val="bullet"/>
      <w:lvlText w:val="•"/>
      <w:lvlJc w:val="left"/>
      <w:pPr>
        <w:ind w:left="1742" w:hanging="180"/>
      </w:pPr>
      <w:rPr>
        <w:rFonts w:hint="default"/>
        <w:lang w:val="en-US" w:eastAsia="en-US" w:bidi="ar-SA"/>
      </w:rPr>
    </w:lvl>
    <w:lvl w:ilvl="6" w:tplc="42202F5A">
      <w:numFmt w:val="bullet"/>
      <w:lvlText w:val="•"/>
      <w:lvlJc w:val="left"/>
      <w:pPr>
        <w:ind w:left="2039" w:hanging="180"/>
      </w:pPr>
      <w:rPr>
        <w:rFonts w:hint="default"/>
        <w:lang w:val="en-US" w:eastAsia="en-US" w:bidi="ar-SA"/>
      </w:rPr>
    </w:lvl>
    <w:lvl w:ilvl="7" w:tplc="E6E6B7A2">
      <w:numFmt w:val="bullet"/>
      <w:lvlText w:val="•"/>
      <w:lvlJc w:val="left"/>
      <w:pPr>
        <w:ind w:left="2335" w:hanging="180"/>
      </w:pPr>
      <w:rPr>
        <w:rFonts w:hint="default"/>
        <w:lang w:val="en-US" w:eastAsia="en-US" w:bidi="ar-SA"/>
      </w:rPr>
    </w:lvl>
    <w:lvl w:ilvl="8" w:tplc="471A2AA4">
      <w:numFmt w:val="bullet"/>
      <w:lvlText w:val="•"/>
      <w:lvlJc w:val="left"/>
      <w:pPr>
        <w:ind w:left="2632" w:hanging="180"/>
      </w:pPr>
      <w:rPr>
        <w:rFonts w:hint="default"/>
        <w:lang w:val="en-US" w:eastAsia="en-US" w:bidi="ar-SA"/>
      </w:rPr>
    </w:lvl>
  </w:abstractNum>
  <w:abstractNum w:abstractNumId="6" w15:restartNumberingAfterBreak="0">
    <w:nsid w:val="34916567"/>
    <w:multiLevelType w:val="hybridMultilevel"/>
    <w:tmpl w:val="EA6E038C"/>
    <w:lvl w:ilvl="0" w:tplc="8FC4C942">
      <w:numFmt w:val="bullet"/>
      <w:lvlText w:val=""/>
      <w:lvlJc w:val="left"/>
      <w:pPr>
        <w:ind w:left="2020" w:hanging="360"/>
      </w:pPr>
      <w:rPr>
        <w:rFonts w:ascii="Symbol" w:eastAsia="Symbol" w:hAnsi="Symbol" w:cs="Symbol" w:hint="default"/>
        <w:b w:val="0"/>
        <w:bCs w:val="0"/>
        <w:i w:val="0"/>
        <w:iCs w:val="0"/>
        <w:spacing w:val="0"/>
        <w:w w:val="100"/>
        <w:sz w:val="24"/>
        <w:szCs w:val="24"/>
        <w:lang w:val="en-US" w:eastAsia="en-US" w:bidi="ar-SA"/>
      </w:rPr>
    </w:lvl>
    <w:lvl w:ilvl="1" w:tplc="945AB172">
      <w:numFmt w:val="bullet"/>
      <w:lvlText w:val="•"/>
      <w:lvlJc w:val="left"/>
      <w:pPr>
        <w:ind w:left="3020" w:hanging="360"/>
      </w:pPr>
      <w:rPr>
        <w:rFonts w:hint="default"/>
        <w:lang w:val="en-US" w:eastAsia="en-US" w:bidi="ar-SA"/>
      </w:rPr>
    </w:lvl>
    <w:lvl w:ilvl="2" w:tplc="D242EBA0">
      <w:numFmt w:val="bullet"/>
      <w:lvlText w:val="•"/>
      <w:lvlJc w:val="left"/>
      <w:pPr>
        <w:ind w:left="4020" w:hanging="360"/>
      </w:pPr>
      <w:rPr>
        <w:rFonts w:hint="default"/>
        <w:lang w:val="en-US" w:eastAsia="en-US" w:bidi="ar-SA"/>
      </w:rPr>
    </w:lvl>
    <w:lvl w:ilvl="3" w:tplc="1DB4E982">
      <w:numFmt w:val="bullet"/>
      <w:lvlText w:val="•"/>
      <w:lvlJc w:val="left"/>
      <w:pPr>
        <w:ind w:left="5020" w:hanging="360"/>
      </w:pPr>
      <w:rPr>
        <w:rFonts w:hint="default"/>
        <w:lang w:val="en-US" w:eastAsia="en-US" w:bidi="ar-SA"/>
      </w:rPr>
    </w:lvl>
    <w:lvl w:ilvl="4" w:tplc="C262C278">
      <w:numFmt w:val="bullet"/>
      <w:lvlText w:val="•"/>
      <w:lvlJc w:val="left"/>
      <w:pPr>
        <w:ind w:left="6020" w:hanging="360"/>
      </w:pPr>
      <w:rPr>
        <w:rFonts w:hint="default"/>
        <w:lang w:val="en-US" w:eastAsia="en-US" w:bidi="ar-SA"/>
      </w:rPr>
    </w:lvl>
    <w:lvl w:ilvl="5" w:tplc="E72C3EBA">
      <w:numFmt w:val="bullet"/>
      <w:lvlText w:val="•"/>
      <w:lvlJc w:val="left"/>
      <w:pPr>
        <w:ind w:left="7020" w:hanging="360"/>
      </w:pPr>
      <w:rPr>
        <w:rFonts w:hint="default"/>
        <w:lang w:val="en-US" w:eastAsia="en-US" w:bidi="ar-SA"/>
      </w:rPr>
    </w:lvl>
    <w:lvl w:ilvl="6" w:tplc="D39A75B0">
      <w:numFmt w:val="bullet"/>
      <w:lvlText w:val="•"/>
      <w:lvlJc w:val="left"/>
      <w:pPr>
        <w:ind w:left="8020" w:hanging="360"/>
      </w:pPr>
      <w:rPr>
        <w:rFonts w:hint="default"/>
        <w:lang w:val="en-US" w:eastAsia="en-US" w:bidi="ar-SA"/>
      </w:rPr>
    </w:lvl>
    <w:lvl w:ilvl="7" w:tplc="621A1D2C">
      <w:numFmt w:val="bullet"/>
      <w:lvlText w:val="•"/>
      <w:lvlJc w:val="left"/>
      <w:pPr>
        <w:ind w:left="9020" w:hanging="360"/>
      </w:pPr>
      <w:rPr>
        <w:rFonts w:hint="default"/>
        <w:lang w:val="en-US" w:eastAsia="en-US" w:bidi="ar-SA"/>
      </w:rPr>
    </w:lvl>
    <w:lvl w:ilvl="8" w:tplc="7734A86C">
      <w:numFmt w:val="bullet"/>
      <w:lvlText w:val="•"/>
      <w:lvlJc w:val="left"/>
      <w:pPr>
        <w:ind w:left="10020" w:hanging="360"/>
      </w:pPr>
      <w:rPr>
        <w:rFonts w:hint="default"/>
        <w:lang w:val="en-US" w:eastAsia="en-US" w:bidi="ar-SA"/>
      </w:rPr>
    </w:lvl>
  </w:abstractNum>
  <w:abstractNum w:abstractNumId="7" w15:restartNumberingAfterBreak="0">
    <w:nsid w:val="355E240D"/>
    <w:multiLevelType w:val="hybridMultilevel"/>
    <w:tmpl w:val="593010D4"/>
    <w:lvl w:ilvl="0" w:tplc="14BCF858">
      <w:numFmt w:val="bullet"/>
      <w:lvlText w:val=""/>
      <w:lvlJc w:val="left"/>
      <w:pPr>
        <w:ind w:left="256" w:hanging="180"/>
      </w:pPr>
      <w:rPr>
        <w:rFonts w:ascii="Wingdings" w:eastAsia="Wingdings" w:hAnsi="Wingdings" w:cs="Wingdings" w:hint="default"/>
        <w:b w:val="0"/>
        <w:bCs w:val="0"/>
        <w:i w:val="0"/>
        <w:iCs w:val="0"/>
        <w:spacing w:val="0"/>
        <w:w w:val="100"/>
        <w:sz w:val="18"/>
        <w:szCs w:val="18"/>
        <w:lang w:val="en-US" w:eastAsia="en-US" w:bidi="ar-SA"/>
      </w:rPr>
    </w:lvl>
    <w:lvl w:ilvl="1" w:tplc="01AEBE44">
      <w:numFmt w:val="bullet"/>
      <w:lvlText w:val=""/>
      <w:lvlJc w:val="left"/>
      <w:pPr>
        <w:ind w:left="647" w:hanging="180"/>
      </w:pPr>
      <w:rPr>
        <w:rFonts w:ascii="Symbol" w:eastAsia="Symbol" w:hAnsi="Symbol" w:cs="Symbol" w:hint="default"/>
        <w:b w:val="0"/>
        <w:bCs w:val="0"/>
        <w:i w:val="0"/>
        <w:iCs w:val="0"/>
        <w:spacing w:val="0"/>
        <w:w w:val="100"/>
        <w:sz w:val="18"/>
        <w:szCs w:val="18"/>
        <w:lang w:val="en-US" w:eastAsia="en-US" w:bidi="ar-SA"/>
      </w:rPr>
    </w:lvl>
    <w:lvl w:ilvl="2" w:tplc="EFC4B62E">
      <w:numFmt w:val="bullet"/>
      <w:lvlText w:val="•"/>
      <w:lvlJc w:val="left"/>
      <w:pPr>
        <w:ind w:left="1766" w:hanging="180"/>
      </w:pPr>
      <w:rPr>
        <w:rFonts w:hint="default"/>
        <w:lang w:val="en-US" w:eastAsia="en-US" w:bidi="ar-SA"/>
      </w:rPr>
    </w:lvl>
    <w:lvl w:ilvl="3" w:tplc="7F7C486A">
      <w:numFmt w:val="bullet"/>
      <w:lvlText w:val="•"/>
      <w:lvlJc w:val="left"/>
      <w:pPr>
        <w:ind w:left="2893" w:hanging="180"/>
      </w:pPr>
      <w:rPr>
        <w:rFonts w:hint="default"/>
        <w:lang w:val="en-US" w:eastAsia="en-US" w:bidi="ar-SA"/>
      </w:rPr>
    </w:lvl>
    <w:lvl w:ilvl="4" w:tplc="9EDCDE42">
      <w:numFmt w:val="bullet"/>
      <w:lvlText w:val="•"/>
      <w:lvlJc w:val="left"/>
      <w:pPr>
        <w:ind w:left="4020" w:hanging="180"/>
      </w:pPr>
      <w:rPr>
        <w:rFonts w:hint="default"/>
        <w:lang w:val="en-US" w:eastAsia="en-US" w:bidi="ar-SA"/>
      </w:rPr>
    </w:lvl>
    <w:lvl w:ilvl="5" w:tplc="22B00BD0">
      <w:numFmt w:val="bullet"/>
      <w:lvlText w:val="•"/>
      <w:lvlJc w:val="left"/>
      <w:pPr>
        <w:ind w:left="5147" w:hanging="180"/>
      </w:pPr>
      <w:rPr>
        <w:rFonts w:hint="default"/>
        <w:lang w:val="en-US" w:eastAsia="en-US" w:bidi="ar-SA"/>
      </w:rPr>
    </w:lvl>
    <w:lvl w:ilvl="6" w:tplc="AB7E84D4">
      <w:numFmt w:val="bullet"/>
      <w:lvlText w:val="•"/>
      <w:lvlJc w:val="left"/>
      <w:pPr>
        <w:ind w:left="6273" w:hanging="180"/>
      </w:pPr>
      <w:rPr>
        <w:rFonts w:hint="default"/>
        <w:lang w:val="en-US" w:eastAsia="en-US" w:bidi="ar-SA"/>
      </w:rPr>
    </w:lvl>
    <w:lvl w:ilvl="7" w:tplc="343EA408">
      <w:numFmt w:val="bullet"/>
      <w:lvlText w:val="•"/>
      <w:lvlJc w:val="left"/>
      <w:pPr>
        <w:ind w:left="7400" w:hanging="180"/>
      </w:pPr>
      <w:rPr>
        <w:rFonts w:hint="default"/>
        <w:lang w:val="en-US" w:eastAsia="en-US" w:bidi="ar-SA"/>
      </w:rPr>
    </w:lvl>
    <w:lvl w:ilvl="8" w:tplc="4644EACE">
      <w:numFmt w:val="bullet"/>
      <w:lvlText w:val="•"/>
      <w:lvlJc w:val="left"/>
      <w:pPr>
        <w:ind w:left="8527" w:hanging="180"/>
      </w:pPr>
      <w:rPr>
        <w:rFonts w:hint="default"/>
        <w:lang w:val="en-US" w:eastAsia="en-US" w:bidi="ar-SA"/>
      </w:rPr>
    </w:lvl>
  </w:abstractNum>
  <w:abstractNum w:abstractNumId="8" w15:restartNumberingAfterBreak="0">
    <w:nsid w:val="373357B5"/>
    <w:multiLevelType w:val="hybridMultilevel"/>
    <w:tmpl w:val="082012BC"/>
    <w:lvl w:ilvl="0" w:tplc="2BFA9382">
      <w:numFmt w:val="bullet"/>
      <w:lvlText w:val=""/>
      <w:lvlJc w:val="left"/>
      <w:pPr>
        <w:ind w:left="268" w:hanging="180"/>
      </w:pPr>
      <w:rPr>
        <w:rFonts w:ascii="Wingdings" w:eastAsia="Wingdings" w:hAnsi="Wingdings" w:cs="Wingdings" w:hint="default"/>
        <w:b w:val="0"/>
        <w:bCs w:val="0"/>
        <w:i w:val="0"/>
        <w:iCs w:val="0"/>
        <w:spacing w:val="0"/>
        <w:w w:val="99"/>
        <w:sz w:val="22"/>
        <w:szCs w:val="22"/>
        <w:lang w:val="en-US" w:eastAsia="en-US" w:bidi="ar-SA"/>
      </w:rPr>
    </w:lvl>
    <w:lvl w:ilvl="1" w:tplc="6352BA74">
      <w:numFmt w:val="bullet"/>
      <w:lvlText w:val="•"/>
      <w:lvlJc w:val="left"/>
      <w:pPr>
        <w:ind w:left="801" w:hanging="180"/>
      </w:pPr>
      <w:rPr>
        <w:rFonts w:hint="default"/>
        <w:lang w:val="en-US" w:eastAsia="en-US" w:bidi="ar-SA"/>
      </w:rPr>
    </w:lvl>
    <w:lvl w:ilvl="2" w:tplc="819CD2E4">
      <w:numFmt w:val="bullet"/>
      <w:lvlText w:val="•"/>
      <w:lvlJc w:val="left"/>
      <w:pPr>
        <w:ind w:left="1342" w:hanging="180"/>
      </w:pPr>
      <w:rPr>
        <w:rFonts w:hint="default"/>
        <w:lang w:val="en-US" w:eastAsia="en-US" w:bidi="ar-SA"/>
      </w:rPr>
    </w:lvl>
    <w:lvl w:ilvl="3" w:tplc="0E16A2C6">
      <w:numFmt w:val="bullet"/>
      <w:lvlText w:val="•"/>
      <w:lvlJc w:val="left"/>
      <w:pPr>
        <w:ind w:left="1883" w:hanging="180"/>
      </w:pPr>
      <w:rPr>
        <w:rFonts w:hint="default"/>
        <w:lang w:val="en-US" w:eastAsia="en-US" w:bidi="ar-SA"/>
      </w:rPr>
    </w:lvl>
    <w:lvl w:ilvl="4" w:tplc="28964AA4">
      <w:numFmt w:val="bullet"/>
      <w:lvlText w:val="•"/>
      <w:lvlJc w:val="left"/>
      <w:pPr>
        <w:ind w:left="2424" w:hanging="180"/>
      </w:pPr>
      <w:rPr>
        <w:rFonts w:hint="default"/>
        <w:lang w:val="en-US" w:eastAsia="en-US" w:bidi="ar-SA"/>
      </w:rPr>
    </w:lvl>
    <w:lvl w:ilvl="5" w:tplc="DBC4A92A">
      <w:numFmt w:val="bullet"/>
      <w:lvlText w:val="•"/>
      <w:lvlJc w:val="left"/>
      <w:pPr>
        <w:ind w:left="2965" w:hanging="180"/>
      </w:pPr>
      <w:rPr>
        <w:rFonts w:hint="default"/>
        <w:lang w:val="en-US" w:eastAsia="en-US" w:bidi="ar-SA"/>
      </w:rPr>
    </w:lvl>
    <w:lvl w:ilvl="6" w:tplc="32EAA042">
      <w:numFmt w:val="bullet"/>
      <w:lvlText w:val="•"/>
      <w:lvlJc w:val="left"/>
      <w:pPr>
        <w:ind w:left="3506" w:hanging="180"/>
      </w:pPr>
      <w:rPr>
        <w:rFonts w:hint="default"/>
        <w:lang w:val="en-US" w:eastAsia="en-US" w:bidi="ar-SA"/>
      </w:rPr>
    </w:lvl>
    <w:lvl w:ilvl="7" w:tplc="88A45ED8">
      <w:numFmt w:val="bullet"/>
      <w:lvlText w:val="•"/>
      <w:lvlJc w:val="left"/>
      <w:pPr>
        <w:ind w:left="4047" w:hanging="180"/>
      </w:pPr>
      <w:rPr>
        <w:rFonts w:hint="default"/>
        <w:lang w:val="en-US" w:eastAsia="en-US" w:bidi="ar-SA"/>
      </w:rPr>
    </w:lvl>
    <w:lvl w:ilvl="8" w:tplc="198A15D0">
      <w:numFmt w:val="bullet"/>
      <w:lvlText w:val="•"/>
      <w:lvlJc w:val="left"/>
      <w:pPr>
        <w:ind w:left="4588" w:hanging="180"/>
      </w:pPr>
      <w:rPr>
        <w:rFonts w:hint="default"/>
        <w:lang w:val="en-US" w:eastAsia="en-US" w:bidi="ar-SA"/>
      </w:rPr>
    </w:lvl>
  </w:abstractNum>
  <w:abstractNum w:abstractNumId="9" w15:restartNumberingAfterBreak="0">
    <w:nsid w:val="41884A87"/>
    <w:multiLevelType w:val="hybridMultilevel"/>
    <w:tmpl w:val="E4B0C354"/>
    <w:lvl w:ilvl="0" w:tplc="E1E838BC">
      <w:numFmt w:val="bullet"/>
      <w:lvlText w:val=""/>
      <w:lvlJc w:val="left"/>
      <w:pPr>
        <w:ind w:left="256" w:hanging="180"/>
      </w:pPr>
      <w:rPr>
        <w:rFonts w:ascii="Wingdings" w:eastAsia="Wingdings" w:hAnsi="Wingdings" w:cs="Wingdings" w:hint="default"/>
        <w:b w:val="0"/>
        <w:bCs w:val="0"/>
        <w:i w:val="0"/>
        <w:iCs w:val="0"/>
        <w:spacing w:val="0"/>
        <w:w w:val="100"/>
        <w:sz w:val="18"/>
        <w:szCs w:val="18"/>
        <w:lang w:val="en-US" w:eastAsia="en-US" w:bidi="ar-SA"/>
      </w:rPr>
    </w:lvl>
    <w:lvl w:ilvl="1" w:tplc="D4A8CE2C">
      <w:numFmt w:val="bullet"/>
      <w:lvlText w:val="•"/>
      <w:lvlJc w:val="left"/>
      <w:pPr>
        <w:ind w:left="1312" w:hanging="180"/>
      </w:pPr>
      <w:rPr>
        <w:rFonts w:hint="default"/>
        <w:lang w:val="en-US" w:eastAsia="en-US" w:bidi="ar-SA"/>
      </w:rPr>
    </w:lvl>
    <w:lvl w:ilvl="2" w:tplc="2864E92C">
      <w:numFmt w:val="bullet"/>
      <w:lvlText w:val="•"/>
      <w:lvlJc w:val="left"/>
      <w:pPr>
        <w:ind w:left="2364" w:hanging="180"/>
      </w:pPr>
      <w:rPr>
        <w:rFonts w:hint="default"/>
        <w:lang w:val="en-US" w:eastAsia="en-US" w:bidi="ar-SA"/>
      </w:rPr>
    </w:lvl>
    <w:lvl w:ilvl="3" w:tplc="C5FCD6D2">
      <w:numFmt w:val="bullet"/>
      <w:lvlText w:val="•"/>
      <w:lvlJc w:val="left"/>
      <w:pPr>
        <w:ind w:left="3416" w:hanging="180"/>
      </w:pPr>
      <w:rPr>
        <w:rFonts w:hint="default"/>
        <w:lang w:val="en-US" w:eastAsia="en-US" w:bidi="ar-SA"/>
      </w:rPr>
    </w:lvl>
    <w:lvl w:ilvl="4" w:tplc="D4F8C860">
      <w:numFmt w:val="bullet"/>
      <w:lvlText w:val="•"/>
      <w:lvlJc w:val="left"/>
      <w:pPr>
        <w:ind w:left="4468" w:hanging="180"/>
      </w:pPr>
      <w:rPr>
        <w:rFonts w:hint="default"/>
        <w:lang w:val="en-US" w:eastAsia="en-US" w:bidi="ar-SA"/>
      </w:rPr>
    </w:lvl>
    <w:lvl w:ilvl="5" w:tplc="A596E786">
      <w:numFmt w:val="bullet"/>
      <w:lvlText w:val="•"/>
      <w:lvlJc w:val="left"/>
      <w:pPr>
        <w:ind w:left="5520" w:hanging="180"/>
      </w:pPr>
      <w:rPr>
        <w:rFonts w:hint="default"/>
        <w:lang w:val="en-US" w:eastAsia="en-US" w:bidi="ar-SA"/>
      </w:rPr>
    </w:lvl>
    <w:lvl w:ilvl="6" w:tplc="9948CE0E">
      <w:numFmt w:val="bullet"/>
      <w:lvlText w:val="•"/>
      <w:lvlJc w:val="left"/>
      <w:pPr>
        <w:ind w:left="6572" w:hanging="180"/>
      </w:pPr>
      <w:rPr>
        <w:rFonts w:hint="default"/>
        <w:lang w:val="en-US" w:eastAsia="en-US" w:bidi="ar-SA"/>
      </w:rPr>
    </w:lvl>
    <w:lvl w:ilvl="7" w:tplc="932EB3DE">
      <w:numFmt w:val="bullet"/>
      <w:lvlText w:val="•"/>
      <w:lvlJc w:val="left"/>
      <w:pPr>
        <w:ind w:left="7624" w:hanging="180"/>
      </w:pPr>
      <w:rPr>
        <w:rFonts w:hint="default"/>
        <w:lang w:val="en-US" w:eastAsia="en-US" w:bidi="ar-SA"/>
      </w:rPr>
    </w:lvl>
    <w:lvl w:ilvl="8" w:tplc="E74CDB20">
      <w:numFmt w:val="bullet"/>
      <w:lvlText w:val="•"/>
      <w:lvlJc w:val="left"/>
      <w:pPr>
        <w:ind w:left="8676" w:hanging="180"/>
      </w:pPr>
      <w:rPr>
        <w:rFonts w:hint="default"/>
        <w:lang w:val="en-US" w:eastAsia="en-US" w:bidi="ar-SA"/>
      </w:rPr>
    </w:lvl>
  </w:abstractNum>
  <w:abstractNum w:abstractNumId="10" w15:restartNumberingAfterBreak="0">
    <w:nsid w:val="44287485"/>
    <w:multiLevelType w:val="hybridMultilevel"/>
    <w:tmpl w:val="C57E1B2C"/>
    <w:lvl w:ilvl="0" w:tplc="E54AD848">
      <w:start w:val="1"/>
      <w:numFmt w:val="decimal"/>
      <w:lvlText w:val="%1."/>
      <w:lvlJc w:val="left"/>
      <w:pPr>
        <w:ind w:left="1902" w:hanging="243"/>
      </w:pPr>
      <w:rPr>
        <w:rFonts w:ascii="Times New Roman" w:eastAsia="Times New Roman" w:hAnsi="Times New Roman" w:cs="Times New Roman" w:hint="default"/>
        <w:b w:val="0"/>
        <w:bCs w:val="0"/>
        <w:i w:val="0"/>
        <w:iCs w:val="0"/>
        <w:spacing w:val="0"/>
        <w:w w:val="100"/>
        <w:sz w:val="24"/>
        <w:szCs w:val="24"/>
        <w:lang w:val="en-US" w:eastAsia="en-US" w:bidi="ar-SA"/>
      </w:rPr>
    </w:lvl>
    <w:lvl w:ilvl="1" w:tplc="C9681C5A">
      <w:numFmt w:val="bullet"/>
      <w:lvlText w:val="•"/>
      <w:lvlJc w:val="left"/>
      <w:pPr>
        <w:ind w:left="2912" w:hanging="243"/>
      </w:pPr>
      <w:rPr>
        <w:rFonts w:hint="default"/>
        <w:lang w:val="en-US" w:eastAsia="en-US" w:bidi="ar-SA"/>
      </w:rPr>
    </w:lvl>
    <w:lvl w:ilvl="2" w:tplc="187EF268">
      <w:numFmt w:val="bullet"/>
      <w:lvlText w:val="•"/>
      <w:lvlJc w:val="left"/>
      <w:pPr>
        <w:ind w:left="3924" w:hanging="243"/>
      </w:pPr>
      <w:rPr>
        <w:rFonts w:hint="default"/>
        <w:lang w:val="en-US" w:eastAsia="en-US" w:bidi="ar-SA"/>
      </w:rPr>
    </w:lvl>
    <w:lvl w:ilvl="3" w:tplc="14AC6D2C">
      <w:numFmt w:val="bullet"/>
      <w:lvlText w:val="•"/>
      <w:lvlJc w:val="left"/>
      <w:pPr>
        <w:ind w:left="4936" w:hanging="243"/>
      </w:pPr>
      <w:rPr>
        <w:rFonts w:hint="default"/>
        <w:lang w:val="en-US" w:eastAsia="en-US" w:bidi="ar-SA"/>
      </w:rPr>
    </w:lvl>
    <w:lvl w:ilvl="4" w:tplc="9F6808E8">
      <w:numFmt w:val="bullet"/>
      <w:lvlText w:val="•"/>
      <w:lvlJc w:val="left"/>
      <w:pPr>
        <w:ind w:left="5948" w:hanging="243"/>
      </w:pPr>
      <w:rPr>
        <w:rFonts w:hint="default"/>
        <w:lang w:val="en-US" w:eastAsia="en-US" w:bidi="ar-SA"/>
      </w:rPr>
    </w:lvl>
    <w:lvl w:ilvl="5" w:tplc="F8D462AC">
      <w:numFmt w:val="bullet"/>
      <w:lvlText w:val="•"/>
      <w:lvlJc w:val="left"/>
      <w:pPr>
        <w:ind w:left="6960" w:hanging="243"/>
      </w:pPr>
      <w:rPr>
        <w:rFonts w:hint="default"/>
        <w:lang w:val="en-US" w:eastAsia="en-US" w:bidi="ar-SA"/>
      </w:rPr>
    </w:lvl>
    <w:lvl w:ilvl="6" w:tplc="DCAC46A6">
      <w:numFmt w:val="bullet"/>
      <w:lvlText w:val="•"/>
      <w:lvlJc w:val="left"/>
      <w:pPr>
        <w:ind w:left="7972" w:hanging="243"/>
      </w:pPr>
      <w:rPr>
        <w:rFonts w:hint="default"/>
        <w:lang w:val="en-US" w:eastAsia="en-US" w:bidi="ar-SA"/>
      </w:rPr>
    </w:lvl>
    <w:lvl w:ilvl="7" w:tplc="D83E3B48">
      <w:numFmt w:val="bullet"/>
      <w:lvlText w:val="•"/>
      <w:lvlJc w:val="left"/>
      <w:pPr>
        <w:ind w:left="8984" w:hanging="243"/>
      </w:pPr>
      <w:rPr>
        <w:rFonts w:hint="default"/>
        <w:lang w:val="en-US" w:eastAsia="en-US" w:bidi="ar-SA"/>
      </w:rPr>
    </w:lvl>
    <w:lvl w:ilvl="8" w:tplc="925C69EE">
      <w:numFmt w:val="bullet"/>
      <w:lvlText w:val="•"/>
      <w:lvlJc w:val="left"/>
      <w:pPr>
        <w:ind w:left="9996" w:hanging="243"/>
      </w:pPr>
      <w:rPr>
        <w:rFonts w:hint="default"/>
        <w:lang w:val="en-US" w:eastAsia="en-US" w:bidi="ar-SA"/>
      </w:rPr>
    </w:lvl>
  </w:abstractNum>
  <w:abstractNum w:abstractNumId="11" w15:restartNumberingAfterBreak="0">
    <w:nsid w:val="49417998"/>
    <w:multiLevelType w:val="hybridMultilevel"/>
    <w:tmpl w:val="06B49806"/>
    <w:lvl w:ilvl="0" w:tplc="A5F2C0D8">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tplc="9F982B00">
      <w:numFmt w:val="bullet"/>
      <w:lvlText w:val="•"/>
      <w:lvlJc w:val="left"/>
      <w:pPr>
        <w:ind w:left="1149" w:hanging="360"/>
      </w:pPr>
      <w:rPr>
        <w:rFonts w:hint="default"/>
        <w:lang w:val="en-US" w:eastAsia="en-US" w:bidi="ar-SA"/>
      </w:rPr>
    </w:lvl>
    <w:lvl w:ilvl="2" w:tplc="F0547252">
      <w:numFmt w:val="bullet"/>
      <w:lvlText w:val="•"/>
      <w:lvlJc w:val="left"/>
      <w:pPr>
        <w:ind w:left="1478" w:hanging="360"/>
      </w:pPr>
      <w:rPr>
        <w:rFonts w:hint="default"/>
        <w:lang w:val="en-US" w:eastAsia="en-US" w:bidi="ar-SA"/>
      </w:rPr>
    </w:lvl>
    <w:lvl w:ilvl="3" w:tplc="0FF805EA">
      <w:numFmt w:val="bullet"/>
      <w:lvlText w:val="•"/>
      <w:lvlJc w:val="left"/>
      <w:pPr>
        <w:ind w:left="1807" w:hanging="360"/>
      </w:pPr>
      <w:rPr>
        <w:rFonts w:hint="default"/>
        <w:lang w:val="en-US" w:eastAsia="en-US" w:bidi="ar-SA"/>
      </w:rPr>
    </w:lvl>
    <w:lvl w:ilvl="4" w:tplc="290AE340">
      <w:numFmt w:val="bullet"/>
      <w:lvlText w:val="•"/>
      <w:lvlJc w:val="left"/>
      <w:pPr>
        <w:ind w:left="2137" w:hanging="360"/>
      </w:pPr>
      <w:rPr>
        <w:rFonts w:hint="default"/>
        <w:lang w:val="en-US" w:eastAsia="en-US" w:bidi="ar-SA"/>
      </w:rPr>
    </w:lvl>
    <w:lvl w:ilvl="5" w:tplc="CA92F566">
      <w:numFmt w:val="bullet"/>
      <w:lvlText w:val="•"/>
      <w:lvlJc w:val="left"/>
      <w:pPr>
        <w:ind w:left="2466" w:hanging="360"/>
      </w:pPr>
      <w:rPr>
        <w:rFonts w:hint="default"/>
        <w:lang w:val="en-US" w:eastAsia="en-US" w:bidi="ar-SA"/>
      </w:rPr>
    </w:lvl>
    <w:lvl w:ilvl="6" w:tplc="FA5C3D90">
      <w:numFmt w:val="bullet"/>
      <w:lvlText w:val="•"/>
      <w:lvlJc w:val="left"/>
      <w:pPr>
        <w:ind w:left="2795" w:hanging="360"/>
      </w:pPr>
      <w:rPr>
        <w:rFonts w:hint="default"/>
        <w:lang w:val="en-US" w:eastAsia="en-US" w:bidi="ar-SA"/>
      </w:rPr>
    </w:lvl>
    <w:lvl w:ilvl="7" w:tplc="099CF4AC">
      <w:numFmt w:val="bullet"/>
      <w:lvlText w:val="•"/>
      <w:lvlJc w:val="left"/>
      <w:pPr>
        <w:ind w:left="3125" w:hanging="360"/>
      </w:pPr>
      <w:rPr>
        <w:rFonts w:hint="default"/>
        <w:lang w:val="en-US" w:eastAsia="en-US" w:bidi="ar-SA"/>
      </w:rPr>
    </w:lvl>
    <w:lvl w:ilvl="8" w:tplc="ED4C13C4">
      <w:numFmt w:val="bullet"/>
      <w:lvlText w:val="•"/>
      <w:lvlJc w:val="left"/>
      <w:pPr>
        <w:ind w:left="3454" w:hanging="360"/>
      </w:pPr>
      <w:rPr>
        <w:rFonts w:hint="default"/>
        <w:lang w:val="en-US" w:eastAsia="en-US" w:bidi="ar-SA"/>
      </w:rPr>
    </w:lvl>
  </w:abstractNum>
  <w:abstractNum w:abstractNumId="12" w15:restartNumberingAfterBreak="0">
    <w:nsid w:val="4C384B89"/>
    <w:multiLevelType w:val="hybridMultilevel"/>
    <w:tmpl w:val="30A472CC"/>
    <w:lvl w:ilvl="0" w:tplc="617C6BB2">
      <w:numFmt w:val="bullet"/>
      <w:lvlText w:val=""/>
      <w:lvlJc w:val="left"/>
      <w:pPr>
        <w:ind w:left="527" w:hanging="180"/>
      </w:pPr>
      <w:rPr>
        <w:rFonts w:ascii="Symbol" w:eastAsia="Symbol" w:hAnsi="Symbol" w:cs="Symbol" w:hint="default"/>
        <w:b w:val="0"/>
        <w:bCs w:val="0"/>
        <w:i w:val="0"/>
        <w:iCs w:val="0"/>
        <w:spacing w:val="0"/>
        <w:w w:val="100"/>
        <w:sz w:val="16"/>
        <w:szCs w:val="16"/>
        <w:lang w:val="en-US" w:eastAsia="en-US" w:bidi="ar-SA"/>
      </w:rPr>
    </w:lvl>
    <w:lvl w:ilvl="1" w:tplc="E82ECBA0">
      <w:numFmt w:val="bullet"/>
      <w:lvlText w:val="•"/>
      <w:lvlJc w:val="left"/>
      <w:pPr>
        <w:ind w:left="998" w:hanging="180"/>
      </w:pPr>
      <w:rPr>
        <w:rFonts w:hint="default"/>
        <w:lang w:val="en-US" w:eastAsia="en-US" w:bidi="ar-SA"/>
      </w:rPr>
    </w:lvl>
    <w:lvl w:ilvl="2" w:tplc="5B789EAA">
      <w:numFmt w:val="bullet"/>
      <w:lvlText w:val="•"/>
      <w:lvlJc w:val="left"/>
      <w:pPr>
        <w:ind w:left="1476" w:hanging="180"/>
      </w:pPr>
      <w:rPr>
        <w:rFonts w:hint="default"/>
        <w:lang w:val="en-US" w:eastAsia="en-US" w:bidi="ar-SA"/>
      </w:rPr>
    </w:lvl>
    <w:lvl w:ilvl="3" w:tplc="7C2E8022">
      <w:numFmt w:val="bullet"/>
      <w:lvlText w:val="•"/>
      <w:lvlJc w:val="left"/>
      <w:pPr>
        <w:ind w:left="1954" w:hanging="180"/>
      </w:pPr>
      <w:rPr>
        <w:rFonts w:hint="default"/>
        <w:lang w:val="en-US" w:eastAsia="en-US" w:bidi="ar-SA"/>
      </w:rPr>
    </w:lvl>
    <w:lvl w:ilvl="4" w:tplc="40FA1B80">
      <w:numFmt w:val="bullet"/>
      <w:lvlText w:val="•"/>
      <w:lvlJc w:val="left"/>
      <w:pPr>
        <w:ind w:left="2432" w:hanging="180"/>
      </w:pPr>
      <w:rPr>
        <w:rFonts w:hint="default"/>
        <w:lang w:val="en-US" w:eastAsia="en-US" w:bidi="ar-SA"/>
      </w:rPr>
    </w:lvl>
    <w:lvl w:ilvl="5" w:tplc="42ECB4E4">
      <w:numFmt w:val="bullet"/>
      <w:lvlText w:val="•"/>
      <w:lvlJc w:val="left"/>
      <w:pPr>
        <w:ind w:left="2910" w:hanging="180"/>
      </w:pPr>
      <w:rPr>
        <w:rFonts w:hint="default"/>
        <w:lang w:val="en-US" w:eastAsia="en-US" w:bidi="ar-SA"/>
      </w:rPr>
    </w:lvl>
    <w:lvl w:ilvl="6" w:tplc="02E09BD8">
      <w:numFmt w:val="bullet"/>
      <w:lvlText w:val="•"/>
      <w:lvlJc w:val="left"/>
      <w:pPr>
        <w:ind w:left="3388" w:hanging="180"/>
      </w:pPr>
      <w:rPr>
        <w:rFonts w:hint="default"/>
        <w:lang w:val="en-US" w:eastAsia="en-US" w:bidi="ar-SA"/>
      </w:rPr>
    </w:lvl>
    <w:lvl w:ilvl="7" w:tplc="382C5426">
      <w:numFmt w:val="bullet"/>
      <w:lvlText w:val="•"/>
      <w:lvlJc w:val="left"/>
      <w:pPr>
        <w:ind w:left="3866" w:hanging="180"/>
      </w:pPr>
      <w:rPr>
        <w:rFonts w:hint="default"/>
        <w:lang w:val="en-US" w:eastAsia="en-US" w:bidi="ar-SA"/>
      </w:rPr>
    </w:lvl>
    <w:lvl w:ilvl="8" w:tplc="BDD88E36">
      <w:numFmt w:val="bullet"/>
      <w:lvlText w:val="•"/>
      <w:lvlJc w:val="left"/>
      <w:pPr>
        <w:ind w:left="4344" w:hanging="180"/>
      </w:pPr>
      <w:rPr>
        <w:rFonts w:hint="default"/>
        <w:lang w:val="en-US" w:eastAsia="en-US" w:bidi="ar-SA"/>
      </w:rPr>
    </w:lvl>
  </w:abstractNum>
  <w:abstractNum w:abstractNumId="13" w15:restartNumberingAfterBreak="0">
    <w:nsid w:val="4D933F43"/>
    <w:multiLevelType w:val="hybridMultilevel"/>
    <w:tmpl w:val="69B6DDAE"/>
    <w:lvl w:ilvl="0" w:tplc="0409000F">
      <w:start w:val="1"/>
      <w:numFmt w:val="decimal"/>
      <w:lvlText w:val="%1."/>
      <w:lvlJc w:val="left"/>
      <w:pPr>
        <w:ind w:left="2020" w:hanging="360"/>
      </w:pPr>
    </w:lvl>
    <w:lvl w:ilvl="1" w:tplc="04090019" w:tentative="1">
      <w:start w:val="1"/>
      <w:numFmt w:val="lowerLetter"/>
      <w:lvlText w:val="%2."/>
      <w:lvlJc w:val="left"/>
      <w:pPr>
        <w:ind w:left="2740" w:hanging="360"/>
      </w:pPr>
    </w:lvl>
    <w:lvl w:ilvl="2" w:tplc="0409001B" w:tentative="1">
      <w:start w:val="1"/>
      <w:numFmt w:val="lowerRoman"/>
      <w:lvlText w:val="%3."/>
      <w:lvlJc w:val="right"/>
      <w:pPr>
        <w:ind w:left="3460" w:hanging="180"/>
      </w:pPr>
    </w:lvl>
    <w:lvl w:ilvl="3" w:tplc="0409000F" w:tentative="1">
      <w:start w:val="1"/>
      <w:numFmt w:val="decimal"/>
      <w:lvlText w:val="%4."/>
      <w:lvlJc w:val="left"/>
      <w:pPr>
        <w:ind w:left="4180" w:hanging="360"/>
      </w:pPr>
    </w:lvl>
    <w:lvl w:ilvl="4" w:tplc="04090019" w:tentative="1">
      <w:start w:val="1"/>
      <w:numFmt w:val="lowerLetter"/>
      <w:lvlText w:val="%5."/>
      <w:lvlJc w:val="left"/>
      <w:pPr>
        <w:ind w:left="4900" w:hanging="360"/>
      </w:pPr>
    </w:lvl>
    <w:lvl w:ilvl="5" w:tplc="0409001B" w:tentative="1">
      <w:start w:val="1"/>
      <w:numFmt w:val="lowerRoman"/>
      <w:lvlText w:val="%6."/>
      <w:lvlJc w:val="right"/>
      <w:pPr>
        <w:ind w:left="5620" w:hanging="180"/>
      </w:pPr>
    </w:lvl>
    <w:lvl w:ilvl="6" w:tplc="0409000F" w:tentative="1">
      <w:start w:val="1"/>
      <w:numFmt w:val="decimal"/>
      <w:lvlText w:val="%7."/>
      <w:lvlJc w:val="left"/>
      <w:pPr>
        <w:ind w:left="6340" w:hanging="360"/>
      </w:pPr>
    </w:lvl>
    <w:lvl w:ilvl="7" w:tplc="04090019" w:tentative="1">
      <w:start w:val="1"/>
      <w:numFmt w:val="lowerLetter"/>
      <w:lvlText w:val="%8."/>
      <w:lvlJc w:val="left"/>
      <w:pPr>
        <w:ind w:left="7060" w:hanging="360"/>
      </w:pPr>
    </w:lvl>
    <w:lvl w:ilvl="8" w:tplc="0409001B" w:tentative="1">
      <w:start w:val="1"/>
      <w:numFmt w:val="lowerRoman"/>
      <w:lvlText w:val="%9."/>
      <w:lvlJc w:val="right"/>
      <w:pPr>
        <w:ind w:left="7780" w:hanging="180"/>
      </w:pPr>
    </w:lvl>
  </w:abstractNum>
  <w:abstractNum w:abstractNumId="14" w15:restartNumberingAfterBreak="0">
    <w:nsid w:val="56E42BC9"/>
    <w:multiLevelType w:val="hybridMultilevel"/>
    <w:tmpl w:val="F8F21868"/>
    <w:lvl w:ilvl="0" w:tplc="D20E0ECE">
      <w:numFmt w:val="bullet"/>
      <w:lvlText w:val=""/>
      <w:lvlJc w:val="left"/>
      <w:pPr>
        <w:ind w:left="256" w:hanging="180"/>
      </w:pPr>
      <w:rPr>
        <w:rFonts w:ascii="Wingdings" w:eastAsia="Wingdings" w:hAnsi="Wingdings" w:cs="Wingdings" w:hint="default"/>
        <w:b w:val="0"/>
        <w:bCs w:val="0"/>
        <w:i w:val="0"/>
        <w:iCs w:val="0"/>
        <w:spacing w:val="0"/>
        <w:w w:val="100"/>
        <w:sz w:val="18"/>
        <w:szCs w:val="18"/>
        <w:lang w:val="en-US" w:eastAsia="en-US" w:bidi="ar-SA"/>
      </w:rPr>
    </w:lvl>
    <w:lvl w:ilvl="1" w:tplc="4A3AE9BA">
      <w:numFmt w:val="bullet"/>
      <w:lvlText w:val=""/>
      <w:lvlJc w:val="left"/>
      <w:pPr>
        <w:ind w:left="648" w:hanging="180"/>
      </w:pPr>
      <w:rPr>
        <w:rFonts w:ascii="Symbol" w:eastAsia="Symbol" w:hAnsi="Symbol" w:cs="Symbol" w:hint="default"/>
        <w:b w:val="0"/>
        <w:bCs w:val="0"/>
        <w:i w:val="0"/>
        <w:iCs w:val="0"/>
        <w:spacing w:val="0"/>
        <w:w w:val="100"/>
        <w:sz w:val="18"/>
        <w:szCs w:val="18"/>
        <w:lang w:val="en-US" w:eastAsia="en-US" w:bidi="ar-SA"/>
      </w:rPr>
    </w:lvl>
    <w:lvl w:ilvl="2" w:tplc="42669C9A">
      <w:numFmt w:val="bullet"/>
      <w:lvlText w:val="•"/>
      <w:lvlJc w:val="left"/>
      <w:pPr>
        <w:ind w:left="1007" w:hanging="180"/>
      </w:pPr>
      <w:rPr>
        <w:rFonts w:hint="default"/>
        <w:lang w:val="en-US" w:eastAsia="en-US" w:bidi="ar-SA"/>
      </w:rPr>
    </w:lvl>
    <w:lvl w:ilvl="3" w:tplc="5D8A08D4">
      <w:numFmt w:val="bullet"/>
      <w:lvlText w:val="•"/>
      <w:lvlJc w:val="left"/>
      <w:pPr>
        <w:ind w:left="1374" w:hanging="180"/>
      </w:pPr>
      <w:rPr>
        <w:rFonts w:hint="default"/>
        <w:lang w:val="en-US" w:eastAsia="en-US" w:bidi="ar-SA"/>
      </w:rPr>
    </w:lvl>
    <w:lvl w:ilvl="4" w:tplc="16529BF4">
      <w:numFmt w:val="bullet"/>
      <w:lvlText w:val="•"/>
      <w:lvlJc w:val="left"/>
      <w:pPr>
        <w:ind w:left="1741" w:hanging="180"/>
      </w:pPr>
      <w:rPr>
        <w:rFonts w:hint="default"/>
        <w:lang w:val="en-US" w:eastAsia="en-US" w:bidi="ar-SA"/>
      </w:rPr>
    </w:lvl>
    <w:lvl w:ilvl="5" w:tplc="59E29EE6">
      <w:numFmt w:val="bullet"/>
      <w:lvlText w:val="•"/>
      <w:lvlJc w:val="left"/>
      <w:pPr>
        <w:ind w:left="2108" w:hanging="180"/>
      </w:pPr>
      <w:rPr>
        <w:rFonts w:hint="default"/>
        <w:lang w:val="en-US" w:eastAsia="en-US" w:bidi="ar-SA"/>
      </w:rPr>
    </w:lvl>
    <w:lvl w:ilvl="6" w:tplc="6BC85016">
      <w:numFmt w:val="bullet"/>
      <w:lvlText w:val="•"/>
      <w:lvlJc w:val="left"/>
      <w:pPr>
        <w:ind w:left="2476" w:hanging="180"/>
      </w:pPr>
      <w:rPr>
        <w:rFonts w:hint="default"/>
        <w:lang w:val="en-US" w:eastAsia="en-US" w:bidi="ar-SA"/>
      </w:rPr>
    </w:lvl>
    <w:lvl w:ilvl="7" w:tplc="B9E0375E">
      <w:numFmt w:val="bullet"/>
      <w:lvlText w:val="•"/>
      <w:lvlJc w:val="left"/>
      <w:pPr>
        <w:ind w:left="2843" w:hanging="180"/>
      </w:pPr>
      <w:rPr>
        <w:rFonts w:hint="default"/>
        <w:lang w:val="en-US" w:eastAsia="en-US" w:bidi="ar-SA"/>
      </w:rPr>
    </w:lvl>
    <w:lvl w:ilvl="8" w:tplc="8BE67A96">
      <w:numFmt w:val="bullet"/>
      <w:lvlText w:val="•"/>
      <w:lvlJc w:val="left"/>
      <w:pPr>
        <w:ind w:left="3210" w:hanging="180"/>
      </w:pPr>
      <w:rPr>
        <w:rFonts w:hint="default"/>
        <w:lang w:val="en-US" w:eastAsia="en-US" w:bidi="ar-SA"/>
      </w:rPr>
    </w:lvl>
  </w:abstractNum>
  <w:abstractNum w:abstractNumId="15" w15:restartNumberingAfterBreak="0">
    <w:nsid w:val="58712E05"/>
    <w:multiLevelType w:val="hybridMultilevel"/>
    <w:tmpl w:val="5470A7C0"/>
    <w:lvl w:ilvl="0" w:tplc="1F6E0F44">
      <w:numFmt w:val="bullet"/>
      <w:lvlText w:val=""/>
      <w:lvlJc w:val="left"/>
      <w:pPr>
        <w:ind w:left="527" w:hanging="180"/>
      </w:pPr>
      <w:rPr>
        <w:rFonts w:ascii="Symbol" w:eastAsia="Symbol" w:hAnsi="Symbol" w:cs="Symbol" w:hint="default"/>
        <w:b w:val="0"/>
        <w:bCs w:val="0"/>
        <w:i w:val="0"/>
        <w:iCs w:val="0"/>
        <w:spacing w:val="0"/>
        <w:w w:val="100"/>
        <w:sz w:val="16"/>
        <w:szCs w:val="16"/>
        <w:lang w:val="en-US" w:eastAsia="en-US" w:bidi="ar-SA"/>
      </w:rPr>
    </w:lvl>
    <w:lvl w:ilvl="1" w:tplc="EDE030E0">
      <w:numFmt w:val="bullet"/>
      <w:lvlText w:val="•"/>
      <w:lvlJc w:val="left"/>
      <w:pPr>
        <w:ind w:left="998" w:hanging="180"/>
      </w:pPr>
      <w:rPr>
        <w:rFonts w:hint="default"/>
        <w:lang w:val="en-US" w:eastAsia="en-US" w:bidi="ar-SA"/>
      </w:rPr>
    </w:lvl>
    <w:lvl w:ilvl="2" w:tplc="6EE24598">
      <w:numFmt w:val="bullet"/>
      <w:lvlText w:val="•"/>
      <w:lvlJc w:val="left"/>
      <w:pPr>
        <w:ind w:left="1476" w:hanging="180"/>
      </w:pPr>
      <w:rPr>
        <w:rFonts w:hint="default"/>
        <w:lang w:val="en-US" w:eastAsia="en-US" w:bidi="ar-SA"/>
      </w:rPr>
    </w:lvl>
    <w:lvl w:ilvl="3" w:tplc="5C6ACE9C">
      <w:numFmt w:val="bullet"/>
      <w:lvlText w:val="•"/>
      <w:lvlJc w:val="left"/>
      <w:pPr>
        <w:ind w:left="1954" w:hanging="180"/>
      </w:pPr>
      <w:rPr>
        <w:rFonts w:hint="default"/>
        <w:lang w:val="en-US" w:eastAsia="en-US" w:bidi="ar-SA"/>
      </w:rPr>
    </w:lvl>
    <w:lvl w:ilvl="4" w:tplc="C4EABE6A">
      <w:numFmt w:val="bullet"/>
      <w:lvlText w:val="•"/>
      <w:lvlJc w:val="left"/>
      <w:pPr>
        <w:ind w:left="2432" w:hanging="180"/>
      </w:pPr>
      <w:rPr>
        <w:rFonts w:hint="default"/>
        <w:lang w:val="en-US" w:eastAsia="en-US" w:bidi="ar-SA"/>
      </w:rPr>
    </w:lvl>
    <w:lvl w:ilvl="5" w:tplc="8B829700">
      <w:numFmt w:val="bullet"/>
      <w:lvlText w:val="•"/>
      <w:lvlJc w:val="left"/>
      <w:pPr>
        <w:ind w:left="2910" w:hanging="180"/>
      </w:pPr>
      <w:rPr>
        <w:rFonts w:hint="default"/>
        <w:lang w:val="en-US" w:eastAsia="en-US" w:bidi="ar-SA"/>
      </w:rPr>
    </w:lvl>
    <w:lvl w:ilvl="6" w:tplc="7CD8C982">
      <w:numFmt w:val="bullet"/>
      <w:lvlText w:val="•"/>
      <w:lvlJc w:val="left"/>
      <w:pPr>
        <w:ind w:left="3388" w:hanging="180"/>
      </w:pPr>
      <w:rPr>
        <w:rFonts w:hint="default"/>
        <w:lang w:val="en-US" w:eastAsia="en-US" w:bidi="ar-SA"/>
      </w:rPr>
    </w:lvl>
    <w:lvl w:ilvl="7" w:tplc="02502B8A">
      <w:numFmt w:val="bullet"/>
      <w:lvlText w:val="•"/>
      <w:lvlJc w:val="left"/>
      <w:pPr>
        <w:ind w:left="3866" w:hanging="180"/>
      </w:pPr>
      <w:rPr>
        <w:rFonts w:hint="default"/>
        <w:lang w:val="en-US" w:eastAsia="en-US" w:bidi="ar-SA"/>
      </w:rPr>
    </w:lvl>
    <w:lvl w:ilvl="8" w:tplc="A4283414">
      <w:numFmt w:val="bullet"/>
      <w:lvlText w:val="•"/>
      <w:lvlJc w:val="left"/>
      <w:pPr>
        <w:ind w:left="4344" w:hanging="180"/>
      </w:pPr>
      <w:rPr>
        <w:rFonts w:hint="default"/>
        <w:lang w:val="en-US" w:eastAsia="en-US" w:bidi="ar-SA"/>
      </w:rPr>
    </w:lvl>
  </w:abstractNum>
  <w:abstractNum w:abstractNumId="16" w15:restartNumberingAfterBreak="0">
    <w:nsid w:val="58904E37"/>
    <w:multiLevelType w:val="hybridMultilevel"/>
    <w:tmpl w:val="D78A42CC"/>
    <w:lvl w:ilvl="0" w:tplc="0C60448C">
      <w:start w:val="1"/>
      <w:numFmt w:val="upperLetter"/>
      <w:lvlText w:val="%1."/>
      <w:lvlJc w:val="left"/>
      <w:pPr>
        <w:ind w:left="310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2DCAEE5A">
      <w:numFmt w:val="bullet"/>
      <w:lvlText w:val=""/>
      <w:lvlJc w:val="left"/>
      <w:pPr>
        <w:ind w:left="3460" w:hanging="360"/>
      </w:pPr>
      <w:rPr>
        <w:rFonts w:ascii="Symbol" w:eastAsia="Symbol" w:hAnsi="Symbol" w:cs="Symbol" w:hint="default"/>
        <w:b w:val="0"/>
        <w:bCs w:val="0"/>
        <w:i w:val="0"/>
        <w:iCs w:val="0"/>
        <w:spacing w:val="0"/>
        <w:w w:val="100"/>
        <w:sz w:val="24"/>
        <w:szCs w:val="24"/>
        <w:lang w:val="en-US" w:eastAsia="en-US" w:bidi="ar-SA"/>
      </w:rPr>
    </w:lvl>
    <w:lvl w:ilvl="2" w:tplc="798A44B6">
      <w:numFmt w:val="bullet"/>
      <w:lvlText w:val="•"/>
      <w:lvlJc w:val="left"/>
      <w:pPr>
        <w:ind w:left="4411" w:hanging="360"/>
      </w:pPr>
      <w:rPr>
        <w:rFonts w:hint="default"/>
        <w:lang w:val="en-US" w:eastAsia="en-US" w:bidi="ar-SA"/>
      </w:rPr>
    </w:lvl>
    <w:lvl w:ilvl="3" w:tplc="592A3070">
      <w:numFmt w:val="bullet"/>
      <w:lvlText w:val="•"/>
      <w:lvlJc w:val="left"/>
      <w:pPr>
        <w:ind w:left="5362" w:hanging="360"/>
      </w:pPr>
      <w:rPr>
        <w:rFonts w:hint="default"/>
        <w:lang w:val="en-US" w:eastAsia="en-US" w:bidi="ar-SA"/>
      </w:rPr>
    </w:lvl>
    <w:lvl w:ilvl="4" w:tplc="8380556E">
      <w:numFmt w:val="bullet"/>
      <w:lvlText w:val="•"/>
      <w:lvlJc w:val="left"/>
      <w:pPr>
        <w:ind w:left="6313" w:hanging="360"/>
      </w:pPr>
      <w:rPr>
        <w:rFonts w:hint="default"/>
        <w:lang w:val="en-US" w:eastAsia="en-US" w:bidi="ar-SA"/>
      </w:rPr>
    </w:lvl>
    <w:lvl w:ilvl="5" w:tplc="AE2E9E30">
      <w:numFmt w:val="bullet"/>
      <w:lvlText w:val="•"/>
      <w:lvlJc w:val="left"/>
      <w:pPr>
        <w:ind w:left="7264" w:hanging="360"/>
      </w:pPr>
      <w:rPr>
        <w:rFonts w:hint="default"/>
        <w:lang w:val="en-US" w:eastAsia="en-US" w:bidi="ar-SA"/>
      </w:rPr>
    </w:lvl>
    <w:lvl w:ilvl="6" w:tplc="1F6E2F9A">
      <w:numFmt w:val="bullet"/>
      <w:lvlText w:val="•"/>
      <w:lvlJc w:val="left"/>
      <w:pPr>
        <w:ind w:left="8215" w:hanging="360"/>
      </w:pPr>
      <w:rPr>
        <w:rFonts w:hint="default"/>
        <w:lang w:val="en-US" w:eastAsia="en-US" w:bidi="ar-SA"/>
      </w:rPr>
    </w:lvl>
    <w:lvl w:ilvl="7" w:tplc="7324C0C2">
      <w:numFmt w:val="bullet"/>
      <w:lvlText w:val="•"/>
      <w:lvlJc w:val="left"/>
      <w:pPr>
        <w:ind w:left="9166" w:hanging="360"/>
      </w:pPr>
      <w:rPr>
        <w:rFonts w:hint="default"/>
        <w:lang w:val="en-US" w:eastAsia="en-US" w:bidi="ar-SA"/>
      </w:rPr>
    </w:lvl>
    <w:lvl w:ilvl="8" w:tplc="54F23736">
      <w:numFmt w:val="bullet"/>
      <w:lvlText w:val="•"/>
      <w:lvlJc w:val="left"/>
      <w:pPr>
        <w:ind w:left="10117" w:hanging="360"/>
      </w:pPr>
      <w:rPr>
        <w:rFonts w:hint="default"/>
        <w:lang w:val="en-US" w:eastAsia="en-US" w:bidi="ar-SA"/>
      </w:rPr>
    </w:lvl>
  </w:abstractNum>
  <w:abstractNum w:abstractNumId="17" w15:restartNumberingAfterBreak="0">
    <w:nsid w:val="5DFC622C"/>
    <w:multiLevelType w:val="hybridMultilevel"/>
    <w:tmpl w:val="F07C642E"/>
    <w:lvl w:ilvl="0" w:tplc="9FFABACC">
      <w:numFmt w:val="bullet"/>
      <w:lvlText w:val=""/>
      <w:lvlJc w:val="left"/>
      <w:pPr>
        <w:ind w:left="527" w:hanging="180"/>
      </w:pPr>
      <w:rPr>
        <w:rFonts w:ascii="Symbol" w:eastAsia="Symbol" w:hAnsi="Symbol" w:cs="Symbol" w:hint="default"/>
        <w:b w:val="0"/>
        <w:bCs w:val="0"/>
        <w:i w:val="0"/>
        <w:iCs w:val="0"/>
        <w:spacing w:val="0"/>
        <w:w w:val="100"/>
        <w:sz w:val="16"/>
        <w:szCs w:val="16"/>
        <w:lang w:val="en-US" w:eastAsia="en-US" w:bidi="ar-SA"/>
      </w:rPr>
    </w:lvl>
    <w:lvl w:ilvl="1" w:tplc="CC821852">
      <w:numFmt w:val="bullet"/>
      <w:lvlText w:val="•"/>
      <w:lvlJc w:val="left"/>
      <w:pPr>
        <w:ind w:left="998" w:hanging="180"/>
      </w:pPr>
      <w:rPr>
        <w:rFonts w:hint="default"/>
        <w:lang w:val="en-US" w:eastAsia="en-US" w:bidi="ar-SA"/>
      </w:rPr>
    </w:lvl>
    <w:lvl w:ilvl="2" w:tplc="6704A204">
      <w:numFmt w:val="bullet"/>
      <w:lvlText w:val="•"/>
      <w:lvlJc w:val="left"/>
      <w:pPr>
        <w:ind w:left="1476" w:hanging="180"/>
      </w:pPr>
      <w:rPr>
        <w:rFonts w:hint="default"/>
        <w:lang w:val="en-US" w:eastAsia="en-US" w:bidi="ar-SA"/>
      </w:rPr>
    </w:lvl>
    <w:lvl w:ilvl="3" w:tplc="E95AB398">
      <w:numFmt w:val="bullet"/>
      <w:lvlText w:val="•"/>
      <w:lvlJc w:val="left"/>
      <w:pPr>
        <w:ind w:left="1954" w:hanging="180"/>
      </w:pPr>
      <w:rPr>
        <w:rFonts w:hint="default"/>
        <w:lang w:val="en-US" w:eastAsia="en-US" w:bidi="ar-SA"/>
      </w:rPr>
    </w:lvl>
    <w:lvl w:ilvl="4" w:tplc="7CC4CE1A">
      <w:numFmt w:val="bullet"/>
      <w:lvlText w:val="•"/>
      <w:lvlJc w:val="left"/>
      <w:pPr>
        <w:ind w:left="2432" w:hanging="180"/>
      </w:pPr>
      <w:rPr>
        <w:rFonts w:hint="default"/>
        <w:lang w:val="en-US" w:eastAsia="en-US" w:bidi="ar-SA"/>
      </w:rPr>
    </w:lvl>
    <w:lvl w:ilvl="5" w:tplc="394C8984">
      <w:numFmt w:val="bullet"/>
      <w:lvlText w:val="•"/>
      <w:lvlJc w:val="left"/>
      <w:pPr>
        <w:ind w:left="2910" w:hanging="180"/>
      </w:pPr>
      <w:rPr>
        <w:rFonts w:hint="default"/>
        <w:lang w:val="en-US" w:eastAsia="en-US" w:bidi="ar-SA"/>
      </w:rPr>
    </w:lvl>
    <w:lvl w:ilvl="6" w:tplc="360CE074">
      <w:numFmt w:val="bullet"/>
      <w:lvlText w:val="•"/>
      <w:lvlJc w:val="left"/>
      <w:pPr>
        <w:ind w:left="3388" w:hanging="180"/>
      </w:pPr>
      <w:rPr>
        <w:rFonts w:hint="default"/>
        <w:lang w:val="en-US" w:eastAsia="en-US" w:bidi="ar-SA"/>
      </w:rPr>
    </w:lvl>
    <w:lvl w:ilvl="7" w:tplc="7E5ACCAA">
      <w:numFmt w:val="bullet"/>
      <w:lvlText w:val="•"/>
      <w:lvlJc w:val="left"/>
      <w:pPr>
        <w:ind w:left="3866" w:hanging="180"/>
      </w:pPr>
      <w:rPr>
        <w:rFonts w:hint="default"/>
        <w:lang w:val="en-US" w:eastAsia="en-US" w:bidi="ar-SA"/>
      </w:rPr>
    </w:lvl>
    <w:lvl w:ilvl="8" w:tplc="4210EDAC">
      <w:numFmt w:val="bullet"/>
      <w:lvlText w:val="•"/>
      <w:lvlJc w:val="left"/>
      <w:pPr>
        <w:ind w:left="4344" w:hanging="180"/>
      </w:pPr>
      <w:rPr>
        <w:rFonts w:hint="default"/>
        <w:lang w:val="en-US" w:eastAsia="en-US" w:bidi="ar-SA"/>
      </w:rPr>
    </w:lvl>
  </w:abstractNum>
  <w:abstractNum w:abstractNumId="18" w15:restartNumberingAfterBreak="0">
    <w:nsid w:val="67340F21"/>
    <w:multiLevelType w:val="hybridMultilevel"/>
    <w:tmpl w:val="27822974"/>
    <w:lvl w:ilvl="0" w:tplc="CC36EB06">
      <w:numFmt w:val="bullet"/>
      <w:lvlText w:val=""/>
      <w:lvlJc w:val="left"/>
      <w:pPr>
        <w:ind w:left="256" w:hanging="180"/>
      </w:pPr>
      <w:rPr>
        <w:rFonts w:ascii="Wingdings" w:eastAsia="Wingdings" w:hAnsi="Wingdings" w:cs="Wingdings" w:hint="default"/>
        <w:b w:val="0"/>
        <w:bCs w:val="0"/>
        <w:i w:val="0"/>
        <w:iCs w:val="0"/>
        <w:spacing w:val="0"/>
        <w:w w:val="100"/>
        <w:sz w:val="18"/>
        <w:szCs w:val="18"/>
        <w:lang w:val="en-US" w:eastAsia="en-US" w:bidi="ar-SA"/>
      </w:rPr>
    </w:lvl>
    <w:lvl w:ilvl="1" w:tplc="E2567DD6">
      <w:numFmt w:val="bullet"/>
      <w:lvlText w:val=""/>
      <w:lvlJc w:val="left"/>
      <w:pPr>
        <w:ind w:left="647" w:hanging="180"/>
      </w:pPr>
      <w:rPr>
        <w:rFonts w:ascii="Symbol" w:eastAsia="Symbol" w:hAnsi="Symbol" w:cs="Symbol" w:hint="default"/>
        <w:b w:val="0"/>
        <w:bCs w:val="0"/>
        <w:i w:val="0"/>
        <w:iCs w:val="0"/>
        <w:spacing w:val="0"/>
        <w:w w:val="100"/>
        <w:sz w:val="18"/>
        <w:szCs w:val="18"/>
        <w:lang w:val="en-US" w:eastAsia="en-US" w:bidi="ar-SA"/>
      </w:rPr>
    </w:lvl>
    <w:lvl w:ilvl="2" w:tplc="03F07482">
      <w:numFmt w:val="bullet"/>
      <w:lvlText w:val="•"/>
      <w:lvlJc w:val="left"/>
      <w:pPr>
        <w:ind w:left="1766" w:hanging="180"/>
      </w:pPr>
      <w:rPr>
        <w:rFonts w:hint="default"/>
        <w:lang w:val="en-US" w:eastAsia="en-US" w:bidi="ar-SA"/>
      </w:rPr>
    </w:lvl>
    <w:lvl w:ilvl="3" w:tplc="02BE7292">
      <w:numFmt w:val="bullet"/>
      <w:lvlText w:val="•"/>
      <w:lvlJc w:val="left"/>
      <w:pPr>
        <w:ind w:left="2893" w:hanging="180"/>
      </w:pPr>
      <w:rPr>
        <w:rFonts w:hint="default"/>
        <w:lang w:val="en-US" w:eastAsia="en-US" w:bidi="ar-SA"/>
      </w:rPr>
    </w:lvl>
    <w:lvl w:ilvl="4" w:tplc="BCEE8F7C">
      <w:numFmt w:val="bullet"/>
      <w:lvlText w:val="•"/>
      <w:lvlJc w:val="left"/>
      <w:pPr>
        <w:ind w:left="4020" w:hanging="180"/>
      </w:pPr>
      <w:rPr>
        <w:rFonts w:hint="default"/>
        <w:lang w:val="en-US" w:eastAsia="en-US" w:bidi="ar-SA"/>
      </w:rPr>
    </w:lvl>
    <w:lvl w:ilvl="5" w:tplc="F8D80216">
      <w:numFmt w:val="bullet"/>
      <w:lvlText w:val="•"/>
      <w:lvlJc w:val="left"/>
      <w:pPr>
        <w:ind w:left="5147" w:hanging="180"/>
      </w:pPr>
      <w:rPr>
        <w:rFonts w:hint="default"/>
        <w:lang w:val="en-US" w:eastAsia="en-US" w:bidi="ar-SA"/>
      </w:rPr>
    </w:lvl>
    <w:lvl w:ilvl="6" w:tplc="786AE174">
      <w:numFmt w:val="bullet"/>
      <w:lvlText w:val="•"/>
      <w:lvlJc w:val="left"/>
      <w:pPr>
        <w:ind w:left="6273" w:hanging="180"/>
      </w:pPr>
      <w:rPr>
        <w:rFonts w:hint="default"/>
        <w:lang w:val="en-US" w:eastAsia="en-US" w:bidi="ar-SA"/>
      </w:rPr>
    </w:lvl>
    <w:lvl w:ilvl="7" w:tplc="A9F24E98">
      <w:numFmt w:val="bullet"/>
      <w:lvlText w:val="•"/>
      <w:lvlJc w:val="left"/>
      <w:pPr>
        <w:ind w:left="7400" w:hanging="180"/>
      </w:pPr>
      <w:rPr>
        <w:rFonts w:hint="default"/>
        <w:lang w:val="en-US" w:eastAsia="en-US" w:bidi="ar-SA"/>
      </w:rPr>
    </w:lvl>
    <w:lvl w:ilvl="8" w:tplc="78B2A952">
      <w:numFmt w:val="bullet"/>
      <w:lvlText w:val="•"/>
      <w:lvlJc w:val="left"/>
      <w:pPr>
        <w:ind w:left="8527" w:hanging="180"/>
      </w:pPr>
      <w:rPr>
        <w:rFonts w:hint="default"/>
        <w:lang w:val="en-US" w:eastAsia="en-US" w:bidi="ar-SA"/>
      </w:rPr>
    </w:lvl>
  </w:abstractNum>
  <w:abstractNum w:abstractNumId="19" w15:restartNumberingAfterBreak="0">
    <w:nsid w:val="704C71D8"/>
    <w:multiLevelType w:val="hybridMultilevel"/>
    <w:tmpl w:val="8D56924A"/>
    <w:lvl w:ilvl="0" w:tplc="9A74EFC2">
      <w:numFmt w:val="bullet"/>
      <w:lvlText w:val=""/>
      <w:lvlJc w:val="left"/>
      <w:pPr>
        <w:ind w:left="256" w:hanging="180"/>
      </w:pPr>
      <w:rPr>
        <w:rFonts w:ascii="Wingdings" w:eastAsia="Wingdings" w:hAnsi="Wingdings" w:cs="Wingdings" w:hint="default"/>
        <w:b w:val="0"/>
        <w:bCs w:val="0"/>
        <w:i w:val="0"/>
        <w:iCs w:val="0"/>
        <w:spacing w:val="0"/>
        <w:w w:val="100"/>
        <w:sz w:val="18"/>
        <w:szCs w:val="18"/>
        <w:lang w:val="en-US" w:eastAsia="en-US" w:bidi="ar-SA"/>
      </w:rPr>
    </w:lvl>
    <w:lvl w:ilvl="1" w:tplc="A27C04A6">
      <w:numFmt w:val="bullet"/>
      <w:lvlText w:val="•"/>
      <w:lvlJc w:val="left"/>
      <w:pPr>
        <w:ind w:left="1312" w:hanging="180"/>
      </w:pPr>
      <w:rPr>
        <w:rFonts w:hint="default"/>
        <w:lang w:val="en-US" w:eastAsia="en-US" w:bidi="ar-SA"/>
      </w:rPr>
    </w:lvl>
    <w:lvl w:ilvl="2" w:tplc="CBCAB352">
      <w:numFmt w:val="bullet"/>
      <w:lvlText w:val="•"/>
      <w:lvlJc w:val="left"/>
      <w:pPr>
        <w:ind w:left="2364" w:hanging="180"/>
      </w:pPr>
      <w:rPr>
        <w:rFonts w:hint="default"/>
        <w:lang w:val="en-US" w:eastAsia="en-US" w:bidi="ar-SA"/>
      </w:rPr>
    </w:lvl>
    <w:lvl w:ilvl="3" w:tplc="069AA6DC">
      <w:numFmt w:val="bullet"/>
      <w:lvlText w:val="•"/>
      <w:lvlJc w:val="left"/>
      <w:pPr>
        <w:ind w:left="3416" w:hanging="180"/>
      </w:pPr>
      <w:rPr>
        <w:rFonts w:hint="default"/>
        <w:lang w:val="en-US" w:eastAsia="en-US" w:bidi="ar-SA"/>
      </w:rPr>
    </w:lvl>
    <w:lvl w:ilvl="4" w:tplc="B2D298EC">
      <w:numFmt w:val="bullet"/>
      <w:lvlText w:val="•"/>
      <w:lvlJc w:val="left"/>
      <w:pPr>
        <w:ind w:left="4468" w:hanging="180"/>
      </w:pPr>
      <w:rPr>
        <w:rFonts w:hint="default"/>
        <w:lang w:val="en-US" w:eastAsia="en-US" w:bidi="ar-SA"/>
      </w:rPr>
    </w:lvl>
    <w:lvl w:ilvl="5" w:tplc="0E924B14">
      <w:numFmt w:val="bullet"/>
      <w:lvlText w:val="•"/>
      <w:lvlJc w:val="left"/>
      <w:pPr>
        <w:ind w:left="5520" w:hanging="180"/>
      </w:pPr>
      <w:rPr>
        <w:rFonts w:hint="default"/>
        <w:lang w:val="en-US" w:eastAsia="en-US" w:bidi="ar-SA"/>
      </w:rPr>
    </w:lvl>
    <w:lvl w:ilvl="6" w:tplc="C9B25568">
      <w:numFmt w:val="bullet"/>
      <w:lvlText w:val="•"/>
      <w:lvlJc w:val="left"/>
      <w:pPr>
        <w:ind w:left="6572" w:hanging="180"/>
      </w:pPr>
      <w:rPr>
        <w:rFonts w:hint="default"/>
        <w:lang w:val="en-US" w:eastAsia="en-US" w:bidi="ar-SA"/>
      </w:rPr>
    </w:lvl>
    <w:lvl w:ilvl="7" w:tplc="08FC0214">
      <w:numFmt w:val="bullet"/>
      <w:lvlText w:val="•"/>
      <w:lvlJc w:val="left"/>
      <w:pPr>
        <w:ind w:left="7624" w:hanging="180"/>
      </w:pPr>
      <w:rPr>
        <w:rFonts w:hint="default"/>
        <w:lang w:val="en-US" w:eastAsia="en-US" w:bidi="ar-SA"/>
      </w:rPr>
    </w:lvl>
    <w:lvl w:ilvl="8" w:tplc="0282AAAA">
      <w:numFmt w:val="bullet"/>
      <w:lvlText w:val="•"/>
      <w:lvlJc w:val="left"/>
      <w:pPr>
        <w:ind w:left="8676" w:hanging="180"/>
      </w:pPr>
      <w:rPr>
        <w:rFonts w:hint="default"/>
        <w:lang w:val="en-US" w:eastAsia="en-US" w:bidi="ar-SA"/>
      </w:rPr>
    </w:lvl>
  </w:abstractNum>
  <w:abstractNum w:abstractNumId="20" w15:restartNumberingAfterBreak="0">
    <w:nsid w:val="71AF18FA"/>
    <w:multiLevelType w:val="hybridMultilevel"/>
    <w:tmpl w:val="BDECAAFC"/>
    <w:lvl w:ilvl="0" w:tplc="2DAA4B38">
      <w:numFmt w:val="bullet"/>
      <w:lvlText w:val=""/>
      <w:lvlJc w:val="left"/>
      <w:pPr>
        <w:ind w:left="268" w:hanging="180"/>
      </w:pPr>
      <w:rPr>
        <w:rFonts w:ascii="Wingdings" w:eastAsia="Wingdings" w:hAnsi="Wingdings" w:cs="Wingdings" w:hint="default"/>
        <w:b w:val="0"/>
        <w:bCs w:val="0"/>
        <w:i w:val="0"/>
        <w:iCs w:val="0"/>
        <w:spacing w:val="0"/>
        <w:w w:val="99"/>
        <w:sz w:val="22"/>
        <w:szCs w:val="22"/>
        <w:lang w:val="en-US" w:eastAsia="en-US" w:bidi="ar-SA"/>
      </w:rPr>
    </w:lvl>
    <w:lvl w:ilvl="1" w:tplc="0EB8ED26">
      <w:numFmt w:val="bullet"/>
      <w:lvlText w:val="•"/>
      <w:lvlJc w:val="left"/>
      <w:pPr>
        <w:ind w:left="744" w:hanging="180"/>
      </w:pPr>
      <w:rPr>
        <w:rFonts w:hint="default"/>
        <w:lang w:val="en-US" w:eastAsia="en-US" w:bidi="ar-SA"/>
      </w:rPr>
    </w:lvl>
    <w:lvl w:ilvl="2" w:tplc="5F5CBC54">
      <w:numFmt w:val="bullet"/>
      <w:lvlText w:val="•"/>
      <w:lvlJc w:val="left"/>
      <w:pPr>
        <w:ind w:left="1228" w:hanging="180"/>
      </w:pPr>
      <w:rPr>
        <w:rFonts w:hint="default"/>
        <w:lang w:val="en-US" w:eastAsia="en-US" w:bidi="ar-SA"/>
      </w:rPr>
    </w:lvl>
    <w:lvl w:ilvl="3" w:tplc="7AC40EDC">
      <w:numFmt w:val="bullet"/>
      <w:lvlText w:val="•"/>
      <w:lvlJc w:val="left"/>
      <w:pPr>
        <w:ind w:left="1712" w:hanging="180"/>
      </w:pPr>
      <w:rPr>
        <w:rFonts w:hint="default"/>
        <w:lang w:val="en-US" w:eastAsia="en-US" w:bidi="ar-SA"/>
      </w:rPr>
    </w:lvl>
    <w:lvl w:ilvl="4" w:tplc="6428BC76">
      <w:numFmt w:val="bullet"/>
      <w:lvlText w:val="•"/>
      <w:lvlJc w:val="left"/>
      <w:pPr>
        <w:ind w:left="2197" w:hanging="180"/>
      </w:pPr>
      <w:rPr>
        <w:rFonts w:hint="default"/>
        <w:lang w:val="en-US" w:eastAsia="en-US" w:bidi="ar-SA"/>
      </w:rPr>
    </w:lvl>
    <w:lvl w:ilvl="5" w:tplc="A81E0450">
      <w:numFmt w:val="bullet"/>
      <w:lvlText w:val="•"/>
      <w:lvlJc w:val="left"/>
      <w:pPr>
        <w:ind w:left="2681" w:hanging="180"/>
      </w:pPr>
      <w:rPr>
        <w:rFonts w:hint="default"/>
        <w:lang w:val="en-US" w:eastAsia="en-US" w:bidi="ar-SA"/>
      </w:rPr>
    </w:lvl>
    <w:lvl w:ilvl="6" w:tplc="DF16F5D4">
      <w:numFmt w:val="bullet"/>
      <w:lvlText w:val="•"/>
      <w:lvlJc w:val="left"/>
      <w:pPr>
        <w:ind w:left="3165" w:hanging="180"/>
      </w:pPr>
      <w:rPr>
        <w:rFonts w:hint="default"/>
        <w:lang w:val="en-US" w:eastAsia="en-US" w:bidi="ar-SA"/>
      </w:rPr>
    </w:lvl>
    <w:lvl w:ilvl="7" w:tplc="4AEEEE14">
      <w:numFmt w:val="bullet"/>
      <w:lvlText w:val="•"/>
      <w:lvlJc w:val="left"/>
      <w:pPr>
        <w:ind w:left="3649" w:hanging="180"/>
      </w:pPr>
      <w:rPr>
        <w:rFonts w:hint="default"/>
        <w:lang w:val="en-US" w:eastAsia="en-US" w:bidi="ar-SA"/>
      </w:rPr>
    </w:lvl>
    <w:lvl w:ilvl="8" w:tplc="34F4BBEA">
      <w:numFmt w:val="bullet"/>
      <w:lvlText w:val="•"/>
      <w:lvlJc w:val="left"/>
      <w:pPr>
        <w:ind w:left="4134" w:hanging="180"/>
      </w:pPr>
      <w:rPr>
        <w:rFonts w:hint="default"/>
        <w:lang w:val="en-US" w:eastAsia="en-US" w:bidi="ar-SA"/>
      </w:rPr>
    </w:lvl>
  </w:abstractNum>
  <w:abstractNum w:abstractNumId="21" w15:restartNumberingAfterBreak="0">
    <w:nsid w:val="72207C11"/>
    <w:multiLevelType w:val="hybridMultilevel"/>
    <w:tmpl w:val="D550FEAE"/>
    <w:lvl w:ilvl="0" w:tplc="1CBC9E9C">
      <w:numFmt w:val="bullet"/>
      <w:lvlText w:val=""/>
      <w:lvlJc w:val="left"/>
      <w:pPr>
        <w:ind w:left="2020" w:hanging="360"/>
      </w:pPr>
      <w:rPr>
        <w:rFonts w:ascii="Symbol" w:eastAsia="Symbol" w:hAnsi="Symbol" w:cs="Symbol" w:hint="default"/>
        <w:b w:val="0"/>
        <w:bCs w:val="0"/>
        <w:i w:val="0"/>
        <w:iCs w:val="0"/>
        <w:spacing w:val="0"/>
        <w:w w:val="100"/>
        <w:sz w:val="24"/>
        <w:szCs w:val="24"/>
        <w:lang w:val="en-US" w:eastAsia="en-US" w:bidi="ar-SA"/>
      </w:rPr>
    </w:lvl>
    <w:lvl w:ilvl="1" w:tplc="4250822E">
      <w:numFmt w:val="bullet"/>
      <w:lvlText w:val="•"/>
      <w:lvlJc w:val="left"/>
      <w:pPr>
        <w:ind w:left="3020" w:hanging="360"/>
      </w:pPr>
      <w:rPr>
        <w:rFonts w:hint="default"/>
        <w:lang w:val="en-US" w:eastAsia="en-US" w:bidi="ar-SA"/>
      </w:rPr>
    </w:lvl>
    <w:lvl w:ilvl="2" w:tplc="8DA80018">
      <w:numFmt w:val="bullet"/>
      <w:lvlText w:val="•"/>
      <w:lvlJc w:val="left"/>
      <w:pPr>
        <w:ind w:left="4020" w:hanging="360"/>
      </w:pPr>
      <w:rPr>
        <w:rFonts w:hint="default"/>
        <w:lang w:val="en-US" w:eastAsia="en-US" w:bidi="ar-SA"/>
      </w:rPr>
    </w:lvl>
    <w:lvl w:ilvl="3" w:tplc="13A646A0">
      <w:numFmt w:val="bullet"/>
      <w:lvlText w:val="•"/>
      <w:lvlJc w:val="left"/>
      <w:pPr>
        <w:ind w:left="5020" w:hanging="360"/>
      </w:pPr>
      <w:rPr>
        <w:rFonts w:hint="default"/>
        <w:lang w:val="en-US" w:eastAsia="en-US" w:bidi="ar-SA"/>
      </w:rPr>
    </w:lvl>
    <w:lvl w:ilvl="4" w:tplc="CA1AE906">
      <w:numFmt w:val="bullet"/>
      <w:lvlText w:val="•"/>
      <w:lvlJc w:val="left"/>
      <w:pPr>
        <w:ind w:left="6020" w:hanging="360"/>
      </w:pPr>
      <w:rPr>
        <w:rFonts w:hint="default"/>
        <w:lang w:val="en-US" w:eastAsia="en-US" w:bidi="ar-SA"/>
      </w:rPr>
    </w:lvl>
    <w:lvl w:ilvl="5" w:tplc="28C69B4A">
      <w:numFmt w:val="bullet"/>
      <w:lvlText w:val="•"/>
      <w:lvlJc w:val="left"/>
      <w:pPr>
        <w:ind w:left="7020" w:hanging="360"/>
      </w:pPr>
      <w:rPr>
        <w:rFonts w:hint="default"/>
        <w:lang w:val="en-US" w:eastAsia="en-US" w:bidi="ar-SA"/>
      </w:rPr>
    </w:lvl>
    <w:lvl w:ilvl="6" w:tplc="FB7EBED8">
      <w:numFmt w:val="bullet"/>
      <w:lvlText w:val="•"/>
      <w:lvlJc w:val="left"/>
      <w:pPr>
        <w:ind w:left="8020" w:hanging="360"/>
      </w:pPr>
      <w:rPr>
        <w:rFonts w:hint="default"/>
        <w:lang w:val="en-US" w:eastAsia="en-US" w:bidi="ar-SA"/>
      </w:rPr>
    </w:lvl>
    <w:lvl w:ilvl="7" w:tplc="D3D2B0C4">
      <w:numFmt w:val="bullet"/>
      <w:lvlText w:val="•"/>
      <w:lvlJc w:val="left"/>
      <w:pPr>
        <w:ind w:left="9020" w:hanging="360"/>
      </w:pPr>
      <w:rPr>
        <w:rFonts w:hint="default"/>
        <w:lang w:val="en-US" w:eastAsia="en-US" w:bidi="ar-SA"/>
      </w:rPr>
    </w:lvl>
    <w:lvl w:ilvl="8" w:tplc="E26617EC">
      <w:numFmt w:val="bullet"/>
      <w:lvlText w:val="•"/>
      <w:lvlJc w:val="left"/>
      <w:pPr>
        <w:ind w:left="10020" w:hanging="360"/>
      </w:pPr>
      <w:rPr>
        <w:rFonts w:hint="default"/>
        <w:lang w:val="en-US" w:eastAsia="en-US" w:bidi="ar-SA"/>
      </w:rPr>
    </w:lvl>
  </w:abstractNum>
  <w:abstractNum w:abstractNumId="22" w15:restartNumberingAfterBreak="0">
    <w:nsid w:val="7A5C7AFF"/>
    <w:multiLevelType w:val="hybridMultilevel"/>
    <w:tmpl w:val="B188230C"/>
    <w:lvl w:ilvl="0" w:tplc="FD1CC43A">
      <w:start w:val="1"/>
      <w:numFmt w:val="upperLetter"/>
      <w:lvlText w:val="%1."/>
      <w:lvlJc w:val="left"/>
      <w:pPr>
        <w:ind w:left="1864" w:hanging="293"/>
      </w:pPr>
      <w:rPr>
        <w:rFonts w:hint="default"/>
        <w:spacing w:val="-1"/>
        <w:w w:val="90"/>
        <w:lang w:val="en-US" w:eastAsia="en-US" w:bidi="ar-SA"/>
      </w:rPr>
    </w:lvl>
    <w:lvl w:ilvl="1" w:tplc="7BB66FFA">
      <w:numFmt w:val="bullet"/>
      <w:lvlText w:val=""/>
      <w:lvlJc w:val="left"/>
      <w:pPr>
        <w:ind w:left="2072" w:hanging="360"/>
      </w:pPr>
      <w:rPr>
        <w:rFonts w:ascii="Symbol" w:eastAsia="Symbol" w:hAnsi="Symbol" w:cs="Symbol" w:hint="default"/>
        <w:b w:val="0"/>
        <w:bCs w:val="0"/>
        <w:i w:val="0"/>
        <w:iCs w:val="0"/>
        <w:spacing w:val="0"/>
        <w:w w:val="100"/>
        <w:sz w:val="24"/>
        <w:szCs w:val="24"/>
        <w:lang w:val="en-US" w:eastAsia="en-US" w:bidi="ar-SA"/>
      </w:rPr>
    </w:lvl>
    <w:lvl w:ilvl="2" w:tplc="5B5C571A">
      <w:numFmt w:val="bullet"/>
      <w:lvlText w:val="•"/>
      <w:lvlJc w:val="left"/>
      <w:pPr>
        <w:ind w:left="3184" w:hanging="360"/>
      </w:pPr>
      <w:rPr>
        <w:rFonts w:hint="default"/>
        <w:lang w:val="en-US" w:eastAsia="en-US" w:bidi="ar-SA"/>
      </w:rPr>
    </w:lvl>
    <w:lvl w:ilvl="3" w:tplc="FDF65386">
      <w:numFmt w:val="bullet"/>
      <w:lvlText w:val="•"/>
      <w:lvlJc w:val="left"/>
      <w:pPr>
        <w:ind w:left="4288" w:hanging="360"/>
      </w:pPr>
      <w:rPr>
        <w:rFonts w:hint="default"/>
        <w:lang w:val="en-US" w:eastAsia="en-US" w:bidi="ar-SA"/>
      </w:rPr>
    </w:lvl>
    <w:lvl w:ilvl="4" w:tplc="C4BAB1B4">
      <w:numFmt w:val="bullet"/>
      <w:lvlText w:val="•"/>
      <w:lvlJc w:val="left"/>
      <w:pPr>
        <w:ind w:left="5393" w:hanging="360"/>
      </w:pPr>
      <w:rPr>
        <w:rFonts w:hint="default"/>
        <w:lang w:val="en-US" w:eastAsia="en-US" w:bidi="ar-SA"/>
      </w:rPr>
    </w:lvl>
    <w:lvl w:ilvl="5" w:tplc="C0061EA4">
      <w:numFmt w:val="bullet"/>
      <w:lvlText w:val="•"/>
      <w:lvlJc w:val="left"/>
      <w:pPr>
        <w:ind w:left="6497" w:hanging="360"/>
      </w:pPr>
      <w:rPr>
        <w:rFonts w:hint="default"/>
        <w:lang w:val="en-US" w:eastAsia="en-US" w:bidi="ar-SA"/>
      </w:rPr>
    </w:lvl>
    <w:lvl w:ilvl="6" w:tplc="F2263C6A">
      <w:numFmt w:val="bullet"/>
      <w:lvlText w:val="•"/>
      <w:lvlJc w:val="left"/>
      <w:pPr>
        <w:ind w:left="7602" w:hanging="360"/>
      </w:pPr>
      <w:rPr>
        <w:rFonts w:hint="default"/>
        <w:lang w:val="en-US" w:eastAsia="en-US" w:bidi="ar-SA"/>
      </w:rPr>
    </w:lvl>
    <w:lvl w:ilvl="7" w:tplc="07083E6A">
      <w:numFmt w:val="bullet"/>
      <w:lvlText w:val="•"/>
      <w:lvlJc w:val="left"/>
      <w:pPr>
        <w:ind w:left="8706" w:hanging="360"/>
      </w:pPr>
      <w:rPr>
        <w:rFonts w:hint="default"/>
        <w:lang w:val="en-US" w:eastAsia="en-US" w:bidi="ar-SA"/>
      </w:rPr>
    </w:lvl>
    <w:lvl w:ilvl="8" w:tplc="D4960C5E">
      <w:numFmt w:val="bullet"/>
      <w:lvlText w:val="•"/>
      <w:lvlJc w:val="left"/>
      <w:pPr>
        <w:ind w:left="9811" w:hanging="360"/>
      </w:pPr>
      <w:rPr>
        <w:rFonts w:hint="default"/>
        <w:lang w:val="en-US" w:eastAsia="en-US" w:bidi="ar-SA"/>
      </w:rPr>
    </w:lvl>
  </w:abstractNum>
  <w:abstractNum w:abstractNumId="23" w15:restartNumberingAfterBreak="0">
    <w:nsid w:val="7AF15415"/>
    <w:multiLevelType w:val="hybridMultilevel"/>
    <w:tmpl w:val="D6E81232"/>
    <w:lvl w:ilvl="0" w:tplc="8076C192">
      <w:numFmt w:val="bullet"/>
      <w:lvlText w:val=""/>
      <w:lvlJc w:val="left"/>
      <w:pPr>
        <w:ind w:left="527" w:hanging="180"/>
      </w:pPr>
      <w:rPr>
        <w:rFonts w:ascii="Symbol" w:eastAsia="Symbol" w:hAnsi="Symbol" w:cs="Symbol" w:hint="default"/>
        <w:b w:val="0"/>
        <w:bCs w:val="0"/>
        <w:i w:val="0"/>
        <w:iCs w:val="0"/>
        <w:spacing w:val="0"/>
        <w:w w:val="100"/>
        <w:sz w:val="16"/>
        <w:szCs w:val="16"/>
        <w:lang w:val="en-US" w:eastAsia="en-US" w:bidi="ar-SA"/>
      </w:rPr>
    </w:lvl>
    <w:lvl w:ilvl="1" w:tplc="8E00185A">
      <w:numFmt w:val="bullet"/>
      <w:lvlText w:val="•"/>
      <w:lvlJc w:val="left"/>
      <w:pPr>
        <w:ind w:left="998" w:hanging="180"/>
      </w:pPr>
      <w:rPr>
        <w:rFonts w:hint="default"/>
        <w:lang w:val="en-US" w:eastAsia="en-US" w:bidi="ar-SA"/>
      </w:rPr>
    </w:lvl>
    <w:lvl w:ilvl="2" w:tplc="7DEE8A3E">
      <w:numFmt w:val="bullet"/>
      <w:lvlText w:val="•"/>
      <w:lvlJc w:val="left"/>
      <w:pPr>
        <w:ind w:left="1476" w:hanging="180"/>
      </w:pPr>
      <w:rPr>
        <w:rFonts w:hint="default"/>
        <w:lang w:val="en-US" w:eastAsia="en-US" w:bidi="ar-SA"/>
      </w:rPr>
    </w:lvl>
    <w:lvl w:ilvl="3" w:tplc="D7F67CEE">
      <w:numFmt w:val="bullet"/>
      <w:lvlText w:val="•"/>
      <w:lvlJc w:val="left"/>
      <w:pPr>
        <w:ind w:left="1954" w:hanging="180"/>
      </w:pPr>
      <w:rPr>
        <w:rFonts w:hint="default"/>
        <w:lang w:val="en-US" w:eastAsia="en-US" w:bidi="ar-SA"/>
      </w:rPr>
    </w:lvl>
    <w:lvl w:ilvl="4" w:tplc="246497D2">
      <w:numFmt w:val="bullet"/>
      <w:lvlText w:val="•"/>
      <w:lvlJc w:val="left"/>
      <w:pPr>
        <w:ind w:left="2432" w:hanging="180"/>
      </w:pPr>
      <w:rPr>
        <w:rFonts w:hint="default"/>
        <w:lang w:val="en-US" w:eastAsia="en-US" w:bidi="ar-SA"/>
      </w:rPr>
    </w:lvl>
    <w:lvl w:ilvl="5" w:tplc="C83E9462">
      <w:numFmt w:val="bullet"/>
      <w:lvlText w:val="•"/>
      <w:lvlJc w:val="left"/>
      <w:pPr>
        <w:ind w:left="2910" w:hanging="180"/>
      </w:pPr>
      <w:rPr>
        <w:rFonts w:hint="default"/>
        <w:lang w:val="en-US" w:eastAsia="en-US" w:bidi="ar-SA"/>
      </w:rPr>
    </w:lvl>
    <w:lvl w:ilvl="6" w:tplc="0DEE9FAE">
      <w:numFmt w:val="bullet"/>
      <w:lvlText w:val="•"/>
      <w:lvlJc w:val="left"/>
      <w:pPr>
        <w:ind w:left="3388" w:hanging="180"/>
      </w:pPr>
      <w:rPr>
        <w:rFonts w:hint="default"/>
        <w:lang w:val="en-US" w:eastAsia="en-US" w:bidi="ar-SA"/>
      </w:rPr>
    </w:lvl>
    <w:lvl w:ilvl="7" w:tplc="66EE4E12">
      <w:numFmt w:val="bullet"/>
      <w:lvlText w:val="•"/>
      <w:lvlJc w:val="left"/>
      <w:pPr>
        <w:ind w:left="3866" w:hanging="180"/>
      </w:pPr>
      <w:rPr>
        <w:rFonts w:hint="default"/>
        <w:lang w:val="en-US" w:eastAsia="en-US" w:bidi="ar-SA"/>
      </w:rPr>
    </w:lvl>
    <w:lvl w:ilvl="8" w:tplc="83467C7C">
      <w:numFmt w:val="bullet"/>
      <w:lvlText w:val="•"/>
      <w:lvlJc w:val="left"/>
      <w:pPr>
        <w:ind w:left="4344" w:hanging="180"/>
      </w:pPr>
      <w:rPr>
        <w:rFonts w:hint="default"/>
        <w:lang w:val="en-US" w:eastAsia="en-US" w:bidi="ar-SA"/>
      </w:rPr>
    </w:lvl>
  </w:abstractNum>
  <w:num w:numId="1" w16cid:durableId="1137142516">
    <w:abstractNumId w:val="12"/>
  </w:num>
  <w:num w:numId="2" w16cid:durableId="628436676">
    <w:abstractNumId w:val="23"/>
  </w:num>
  <w:num w:numId="3" w16cid:durableId="1887255571">
    <w:abstractNumId w:val="3"/>
  </w:num>
  <w:num w:numId="4" w16cid:durableId="705645005">
    <w:abstractNumId w:val="15"/>
  </w:num>
  <w:num w:numId="5" w16cid:durableId="1241983469">
    <w:abstractNumId w:val="17"/>
  </w:num>
  <w:num w:numId="6" w16cid:durableId="343629558">
    <w:abstractNumId w:val="14"/>
  </w:num>
  <w:num w:numId="7" w16cid:durableId="436951208">
    <w:abstractNumId w:val="4"/>
  </w:num>
  <w:num w:numId="8" w16cid:durableId="1258053377">
    <w:abstractNumId w:val="5"/>
  </w:num>
  <w:num w:numId="9" w16cid:durableId="2118744624">
    <w:abstractNumId w:val="9"/>
  </w:num>
  <w:num w:numId="10" w16cid:durableId="1780028411">
    <w:abstractNumId w:val="18"/>
  </w:num>
  <w:num w:numId="11" w16cid:durableId="874200734">
    <w:abstractNumId w:val="8"/>
  </w:num>
  <w:num w:numId="12" w16cid:durableId="2125805869">
    <w:abstractNumId w:val="20"/>
  </w:num>
  <w:num w:numId="13" w16cid:durableId="590508944">
    <w:abstractNumId w:val="19"/>
  </w:num>
  <w:num w:numId="14" w16cid:durableId="1753117573">
    <w:abstractNumId w:val="2"/>
  </w:num>
  <w:num w:numId="15" w16cid:durableId="211160490">
    <w:abstractNumId w:val="7"/>
  </w:num>
  <w:num w:numId="16" w16cid:durableId="1051416959">
    <w:abstractNumId w:val="16"/>
  </w:num>
  <w:num w:numId="17" w16cid:durableId="1996302787">
    <w:abstractNumId w:val="11"/>
  </w:num>
  <w:num w:numId="18" w16cid:durableId="1966111959">
    <w:abstractNumId w:val="21"/>
  </w:num>
  <w:num w:numId="19" w16cid:durableId="1951544932">
    <w:abstractNumId w:val="10"/>
  </w:num>
  <w:num w:numId="20" w16cid:durableId="803473894">
    <w:abstractNumId w:val="0"/>
  </w:num>
  <w:num w:numId="21" w16cid:durableId="263154544">
    <w:abstractNumId w:val="22"/>
  </w:num>
  <w:num w:numId="22" w16cid:durableId="1883857277">
    <w:abstractNumId w:val="1"/>
  </w:num>
  <w:num w:numId="23" w16cid:durableId="1850869491">
    <w:abstractNumId w:val="6"/>
  </w:num>
  <w:num w:numId="24" w16cid:durableId="76920719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41A5B"/>
    <w:rsid w:val="009148E4"/>
    <w:rsid w:val="00DA7B02"/>
    <w:rsid w:val="00DD3F22"/>
    <w:rsid w:val="00E41A5B"/>
    <w:rsid w:val="00FB1C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5A9600"/>
  <w15:docId w15:val="{159A138A-5350-41AD-B9DF-1605F1D30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392"/>
      <w:outlineLvl w:val="0"/>
    </w:pPr>
    <w:rPr>
      <w:b/>
      <w:bCs/>
      <w:sz w:val="28"/>
      <w:szCs w:val="28"/>
    </w:rPr>
  </w:style>
  <w:style w:type="paragraph" w:styleId="Heading2">
    <w:name w:val="heading 2"/>
    <w:basedOn w:val="Normal"/>
    <w:uiPriority w:val="9"/>
    <w:unhideWhenUsed/>
    <w:qFormat/>
    <w:pPr>
      <w:ind w:left="1300"/>
      <w:outlineLvl w:val="1"/>
    </w:pPr>
    <w:rPr>
      <w:b/>
      <w:bCs/>
      <w:sz w:val="24"/>
      <w:szCs w:val="24"/>
    </w:rPr>
  </w:style>
  <w:style w:type="paragraph" w:styleId="Heading3">
    <w:name w:val="heading 3"/>
    <w:basedOn w:val="Normal"/>
    <w:uiPriority w:val="9"/>
    <w:unhideWhenUsed/>
    <w:qFormat/>
    <w:pPr>
      <w:ind w:left="1299" w:right="1355"/>
      <w:jc w:val="both"/>
      <w:outlineLvl w:val="2"/>
    </w:pPr>
    <w:rPr>
      <w:b/>
      <w:bCs/>
      <w:i/>
      <w:i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paragraph" w:styleId="ListParagraph">
    <w:name w:val="List Paragraph"/>
    <w:basedOn w:val="Normal"/>
    <w:uiPriority w:val="1"/>
    <w:qFormat/>
    <w:pPr>
      <w:ind w:left="2020" w:hanging="360"/>
      <w:jc w:val="both"/>
    </w:pPr>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FB1CFE"/>
    <w:pPr>
      <w:tabs>
        <w:tab w:val="center" w:pos="4680"/>
        <w:tab w:val="right" w:pos="9360"/>
      </w:tabs>
    </w:pPr>
  </w:style>
  <w:style w:type="character" w:customStyle="1" w:styleId="HeaderChar">
    <w:name w:val="Header Char"/>
    <w:basedOn w:val="DefaultParagraphFont"/>
    <w:link w:val="Header"/>
    <w:uiPriority w:val="99"/>
    <w:rsid w:val="00FB1CFE"/>
    <w:rPr>
      <w:rFonts w:ascii="Times New Roman" w:eastAsia="Times New Roman" w:hAnsi="Times New Roman" w:cs="Times New Roman"/>
    </w:rPr>
  </w:style>
  <w:style w:type="paragraph" w:styleId="Footer">
    <w:name w:val="footer"/>
    <w:basedOn w:val="Normal"/>
    <w:link w:val="FooterChar"/>
    <w:uiPriority w:val="99"/>
    <w:unhideWhenUsed/>
    <w:rsid w:val="00FB1CFE"/>
    <w:pPr>
      <w:tabs>
        <w:tab w:val="center" w:pos="4680"/>
        <w:tab w:val="right" w:pos="9360"/>
      </w:tabs>
    </w:pPr>
  </w:style>
  <w:style w:type="character" w:customStyle="1" w:styleId="FooterChar">
    <w:name w:val="Footer Char"/>
    <w:basedOn w:val="DefaultParagraphFont"/>
    <w:link w:val="Footer"/>
    <w:uiPriority w:val="99"/>
    <w:rsid w:val="00FB1CFE"/>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31</Pages>
  <Words>13920</Words>
  <Characters>79345</Characters>
  <Application>Microsoft Office Word</Application>
  <DocSecurity>0</DocSecurity>
  <Lines>661</Lines>
  <Paragraphs>186</Paragraphs>
  <ScaleCrop>false</ScaleCrop>
  <Company>State of Nevada</Company>
  <LinksUpToDate>false</LinksUpToDate>
  <CharactersWithSpaces>93079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Fredley</dc:creator>
  <cp:lastModifiedBy>Kimberly Jadidi</cp:lastModifiedBy>
  <cp:revision>3</cp:revision>
  <dcterms:created xsi:type="dcterms:W3CDTF">2026-08-27T20:22:00Z</dcterms:created>
  <dcterms:modified xsi:type="dcterms:W3CDTF">2026-08-28T17:23:00Z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2017-12-13T00:00:00Z</vt:filetime>
  </property>
  <property fmtid="{D5CDD505-2E9C-101B-9397-08002B2CF9AE}" pid="3" name="Creator">
    <vt:lpwstr>Acrobat PDFMaker 11 for Word</vt:lpwstr>
  </property>
  <property fmtid="{D5CDD505-2E9C-101B-9397-08002B2CF9AE}" pid="4" name="LastSaved">
    <vt:filetime>2026-08-27T00:00:00Z</vt:filetime>
  </property>
  <property fmtid="{D5CDD505-2E9C-101B-9397-08002B2CF9AE}" pid="5" name="Producer">
    <vt:lpwstr>Adobe PDF Library 11.0</vt:lpwstr>
  </property>
  <property fmtid="{D5CDD505-2E9C-101B-9397-08002B2CF9AE}" pid="6" name="SourceModified">
    <vt:lpwstr>D:20171213223344</vt:lpwstr>
  </property>
</Properties>
</file>